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714BF">
      <w:pPr>
        <w:rPr>
          <w:rFonts w:hint="default" w:ascii="Times New Roman" w:hAnsi="Times New Roman" w:cs="Times New Roman"/>
          <w:b/>
          <w:bCs/>
          <w:sz w:val="22"/>
          <w:lang w:val="en-US" w:eastAsia="zh-CN"/>
        </w:rPr>
      </w:pPr>
      <w:r>
        <w:rPr>
          <w:rFonts w:ascii="Times New Roman" w:hAnsi="Times New Roman" w:cs="Times New Roman"/>
          <w:b/>
          <w:bCs/>
          <w:sz w:val="22"/>
          <w:lang w:val="en-US" w:eastAsia="zh-CN"/>
        </w:rPr>
        <w:t>3GPP TSG-RAN WG2 Meeting #132</w:t>
      </w:r>
      <w:r>
        <w:rPr>
          <w:rFonts w:ascii="Times New Roman" w:hAnsi="Times New Roman" w:cs="Times New Roman"/>
          <w:b/>
          <w:bCs/>
          <w:sz w:val="22"/>
          <w:lang w:eastAsia="zh-CN"/>
        </w:rPr>
        <w:tab/>
      </w:r>
      <w:r>
        <w:rPr>
          <w:rFonts w:ascii="Times New Roman" w:hAnsi="Times New Roman" w:cs="Times New Roman"/>
          <w:b/>
          <w:bCs/>
          <w:sz w:val="22"/>
          <w:lang w:eastAsia="zh-CN"/>
        </w:rPr>
        <w:tab/>
      </w:r>
      <w:r>
        <w:rPr>
          <w:rFonts w:hint="eastAsia" w:ascii="Times New Roman" w:hAnsi="Times New Roman" w:cs="Times New Roman"/>
          <w:b/>
          <w:bCs/>
          <w:sz w:val="22"/>
          <w:lang w:val="en-US" w:eastAsia="zh-CN"/>
        </w:rPr>
        <w:t xml:space="preserve">                                    R2-2508964</w:t>
      </w:r>
      <w:bookmarkStart w:id="1" w:name="_GoBack"/>
      <w:bookmarkEnd w:id="1"/>
    </w:p>
    <w:p w14:paraId="19AF0DB7">
      <w:pPr>
        <w:rPr>
          <w:rFonts w:ascii="Times New Roman" w:hAnsi="Times New Roman" w:cs="Times New Roman"/>
          <w:b/>
          <w:bCs/>
          <w:sz w:val="22"/>
          <w:lang w:eastAsia="zh-CN"/>
        </w:rPr>
      </w:pPr>
      <w:r>
        <w:rPr>
          <w:rFonts w:ascii="Times New Roman" w:hAnsi="Times New Roman" w:cs="Times New Roman"/>
          <w:b/>
          <w:bCs/>
          <w:sz w:val="22"/>
          <w:lang w:val="en-US" w:eastAsia="zh-CN"/>
        </w:rPr>
        <w:t>Dallas, USA,  Nov. 17th - 21st</w:t>
      </w:r>
    </w:p>
    <w:p w14:paraId="0050FAD7">
      <w:pPr>
        <w:rPr>
          <w:rFonts w:ascii="Times New Roman" w:hAnsi="Times New Roman" w:cs="Times New Roman"/>
          <w:b/>
          <w:bCs/>
          <w:sz w:val="22"/>
        </w:rPr>
      </w:pPr>
    </w:p>
    <w:p w14:paraId="66B8178B">
      <w:pPr>
        <w:keepNext w:val="0"/>
        <w:keepLines w:val="0"/>
        <w:pageBreakBefore w:val="0"/>
        <w:widowControl w:val="0"/>
        <w:kinsoku/>
        <w:wordWrap/>
        <w:overflowPunct/>
        <w:topLinePunct w:val="0"/>
        <w:autoSpaceDE/>
        <w:autoSpaceDN/>
        <w:bidi w:val="0"/>
        <w:adjustRightInd/>
        <w:snapToGrid/>
        <w:ind w:left="1984" w:hanging="1984"/>
        <w:textAlignment w:val="auto"/>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4CDFDA1B">
      <w:pPr>
        <w:keepNext w:val="0"/>
        <w:keepLines w:val="0"/>
        <w:pageBreakBefore w:val="0"/>
        <w:widowControl w:val="0"/>
        <w:kinsoku/>
        <w:wordWrap/>
        <w:overflowPunct/>
        <w:topLinePunct w:val="0"/>
        <w:autoSpaceDE/>
        <w:autoSpaceDN/>
        <w:bidi w:val="0"/>
        <w:adjustRightInd/>
        <w:snapToGrid/>
        <w:ind w:left="1984" w:hanging="1984"/>
        <w:textAlignment w:val="auto"/>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Spectrum aggregation for 6GR</w:t>
      </w:r>
    </w:p>
    <w:p w14:paraId="000A571B">
      <w:pPr>
        <w:keepNext w:val="0"/>
        <w:keepLines w:val="0"/>
        <w:pageBreakBefore w:val="0"/>
        <w:widowControl w:val="0"/>
        <w:kinsoku/>
        <w:wordWrap/>
        <w:overflowPunct/>
        <w:topLinePunct w:val="0"/>
        <w:autoSpaceDE/>
        <w:autoSpaceDN/>
        <w:bidi w:val="0"/>
        <w:adjustRightInd/>
        <w:snapToGrid/>
        <w:ind w:left="1984" w:hanging="1984"/>
        <w:textAlignment w:val="auto"/>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10</w:t>
      </w:r>
      <w:r>
        <w:rPr>
          <w:rFonts w:ascii="Times New Roman" w:hAnsi="Times New Roman" w:cs="Times New Roman"/>
          <w:b/>
          <w:sz w:val="24"/>
          <w:szCs w:val="24"/>
        </w:rPr>
        <w:t>.</w:t>
      </w:r>
      <w:r>
        <w:rPr>
          <w:rFonts w:hint="eastAsia" w:ascii="Times New Roman" w:hAnsi="Times New Roman" w:cs="Times New Roman"/>
          <w:b/>
          <w:sz w:val="24"/>
          <w:szCs w:val="24"/>
          <w:lang w:val="en-US" w:eastAsia="zh-CN"/>
        </w:rPr>
        <w:t>3</w:t>
      </w:r>
      <w:r>
        <w:rPr>
          <w:rFonts w:hint="eastAsia" w:ascii="Times New Roman" w:hAnsi="Times New Roman" w:cs="Times New Roman"/>
          <w:b/>
          <w:sz w:val="24"/>
          <w:szCs w:val="24"/>
        </w:rPr>
        <w:t>.</w:t>
      </w:r>
      <w:r>
        <w:rPr>
          <w:rFonts w:hint="eastAsia" w:ascii="Times New Roman" w:hAnsi="Times New Roman" w:cs="Times New Roman"/>
          <w:b/>
          <w:sz w:val="24"/>
          <w:szCs w:val="24"/>
          <w:lang w:val="en-US" w:eastAsia="zh-CN"/>
        </w:rPr>
        <w:t>2.3</w:t>
      </w:r>
    </w:p>
    <w:p w14:paraId="3BAEA0BF">
      <w:pPr>
        <w:keepNext w:val="0"/>
        <w:keepLines w:val="0"/>
        <w:pageBreakBefore w:val="0"/>
        <w:widowControl w:val="0"/>
        <w:kinsoku/>
        <w:wordWrap/>
        <w:overflowPunct/>
        <w:topLinePunct w:val="0"/>
        <w:autoSpaceDE/>
        <w:autoSpaceDN/>
        <w:bidi w:val="0"/>
        <w:adjustRightInd/>
        <w:snapToGrid/>
        <w:ind w:left="1984" w:hanging="1984"/>
        <w:textAlignment w:val="auto"/>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4095792C">
      <w:pPr>
        <w:pStyle w:val="2"/>
        <w:keepLines/>
        <w:numPr>
          <w:ilvl w:val="0"/>
          <w:numId w:val="3"/>
        </w:numPr>
        <w:pBdr>
          <w:top w:val="single" w:color="auto" w:sz="12" w:space="3"/>
        </w:pBdr>
        <w:tabs>
          <w:tab w:val="left" w:pos="420"/>
          <w:tab w:val="left" w:pos="63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szCs w:val="28"/>
          <w:lang w:val="en-US" w:eastAsia="zh-CN"/>
        </w:rPr>
        <w:t xml:space="preserve"> </w:t>
      </w:r>
      <w:r>
        <w:rPr>
          <w:rFonts w:ascii="Times New Roman" w:hAnsi="Times New Roman"/>
          <w:szCs w:val="28"/>
        </w:rPr>
        <w:t>Introduction</w:t>
      </w:r>
    </w:p>
    <w:p w14:paraId="0A070D7B">
      <w:pPr>
        <w:spacing w:before="120" w:beforeLines="50" w:after="120" w:afterLines="50" w:line="240" w:lineRule="auto"/>
      </w:pPr>
      <w:bookmarkStart w:id="0" w:name="_Toc54284460"/>
      <w:r>
        <w:rPr>
          <w:rFonts w:hint="default" w:ascii="Times New Roman" w:hAnsi="Times New Roman" w:cs="Times New Roman"/>
          <w:lang w:eastAsia="zh-CN"/>
        </w:rPr>
        <w:t>At the 3GPP RAN</w:t>
      </w:r>
      <w:r>
        <w:rPr>
          <w:rFonts w:hint="eastAsia" w:ascii="Times New Roman" w:hAnsi="Times New Roman" w:cs="Times New Roman"/>
          <w:lang w:val="en-US" w:eastAsia="zh-CN"/>
        </w:rPr>
        <w:t>2</w:t>
      </w:r>
      <w:r>
        <w:rPr>
          <w:rFonts w:hint="default" w:ascii="Times New Roman" w:hAnsi="Times New Roman" w:cs="Times New Roman"/>
          <w:lang w:eastAsia="zh-CN"/>
        </w:rPr>
        <w:t xml:space="preserve"> #1</w:t>
      </w:r>
      <w:r>
        <w:rPr>
          <w:rFonts w:hint="eastAsia" w:ascii="Times New Roman" w:hAnsi="Times New Roman" w:cs="Times New Roman"/>
          <w:lang w:val="en-US" w:eastAsia="zh-CN"/>
        </w:rPr>
        <w:t>31bis meeting, the following agreements have been reached for Spectrum aggregation in 6GR.</w:t>
      </w:r>
    </w:p>
    <w:p w14:paraId="0F884069">
      <w:pPr>
        <w:pStyle w:val="58"/>
        <w:numPr>
          <w:ilvl w:val="0"/>
          <w:numId w:val="0"/>
        </w:numPr>
        <w:pBdr>
          <w:top w:val="single" w:color="auto" w:sz="4" w:space="1"/>
          <w:left w:val="single" w:color="auto" w:sz="4" w:space="4"/>
          <w:bottom w:val="single" w:color="auto" w:sz="4" w:space="1"/>
          <w:right w:val="single" w:color="auto" w:sz="4" w:space="4"/>
        </w:pBdr>
        <w:tabs>
          <w:tab w:val="left" w:pos="2039"/>
          <w:tab w:val="clear" w:pos="1619"/>
        </w:tabs>
        <w:spacing w:line="240" w:lineRule="auto"/>
        <w:ind w:left="420" w:leftChars="0" w:hanging="360" w:firstLineChars="0"/>
        <w:rPr>
          <w:rFonts w:hint="default" w:ascii="Times New Roman" w:hAnsi="Times New Roman" w:cs="Times New Roman"/>
          <w:b/>
          <w:bCs/>
        </w:rPr>
      </w:pPr>
      <w:r>
        <w:rPr>
          <w:rFonts w:hint="default" w:ascii="Times New Roman" w:hAnsi="Times New Roman" w:cs="Times New Roman"/>
          <w:b/>
          <w:bCs/>
        </w:rPr>
        <w:t>Agreements on Spectrum aggregation</w:t>
      </w:r>
    </w:p>
    <w:p w14:paraId="5AD67904">
      <w:pPr>
        <w:pStyle w:val="58"/>
        <w:numPr>
          <w:ilvl w:val="0"/>
          <w:numId w:val="0"/>
        </w:numPr>
        <w:pBdr>
          <w:top w:val="single" w:color="auto" w:sz="4" w:space="1"/>
          <w:left w:val="single" w:color="auto" w:sz="4" w:space="4"/>
          <w:bottom w:val="single" w:color="auto" w:sz="4" w:space="1"/>
          <w:right w:val="single" w:color="auto" w:sz="4" w:space="4"/>
        </w:pBdr>
        <w:tabs>
          <w:tab w:val="left" w:pos="2039"/>
          <w:tab w:val="clear" w:pos="1619"/>
        </w:tabs>
        <w:spacing w:line="240" w:lineRule="auto"/>
        <w:ind w:left="420" w:leftChars="0" w:hanging="360" w:firstLineChars="0"/>
        <w:rPr>
          <w:rFonts w:hint="default" w:ascii="Times New Roman" w:hAnsi="Times New Roman" w:cs="Times New Roman"/>
          <w:b w:val="0"/>
          <w:bCs/>
        </w:rPr>
      </w:pPr>
      <w:r>
        <w:rPr>
          <w:rFonts w:hint="default" w:ascii="Times New Roman" w:hAnsi="Times New Roman" w:cs="Times New Roman"/>
          <w:b w:val="0"/>
          <w:bCs/>
        </w:rPr>
        <w:t>1</w:t>
      </w:r>
      <w:r>
        <w:rPr>
          <w:rFonts w:hint="default" w:ascii="Times New Roman" w:hAnsi="Times New Roman" w:cs="Times New Roman"/>
          <w:b w:val="0"/>
          <w:bCs/>
        </w:rPr>
        <w:tab/>
      </w:r>
      <w:r>
        <w:rPr>
          <w:rFonts w:hint="default" w:ascii="Times New Roman" w:hAnsi="Times New Roman" w:cs="Times New Roman"/>
          <w:b w:val="0"/>
          <w:bCs/>
        </w:rPr>
        <w:t xml:space="preserve">Study spectrum aggregation of multiple pieces of spectrum and understand the issues that need to be addressed.     </w:t>
      </w:r>
    </w:p>
    <w:p w14:paraId="5A1516A3">
      <w:pPr>
        <w:pStyle w:val="58"/>
        <w:numPr>
          <w:ilvl w:val="0"/>
          <w:numId w:val="0"/>
        </w:numPr>
        <w:pBdr>
          <w:top w:val="single" w:color="auto" w:sz="4" w:space="1"/>
          <w:left w:val="single" w:color="auto" w:sz="4" w:space="4"/>
          <w:bottom w:val="single" w:color="auto" w:sz="4" w:space="1"/>
          <w:right w:val="single" w:color="auto" w:sz="4" w:space="4"/>
        </w:pBdr>
        <w:tabs>
          <w:tab w:val="left" w:pos="2039"/>
          <w:tab w:val="clear" w:pos="1619"/>
        </w:tabs>
        <w:spacing w:line="240" w:lineRule="auto"/>
        <w:ind w:left="420" w:leftChars="0" w:hanging="360" w:firstLineChars="0"/>
        <w:rPr>
          <w:rFonts w:hint="default" w:ascii="Times New Roman" w:hAnsi="Times New Roman" w:cs="Times New Roman"/>
          <w:b w:val="0"/>
          <w:bCs/>
        </w:rPr>
      </w:pPr>
      <w:r>
        <w:rPr>
          <w:rFonts w:hint="default" w:ascii="Times New Roman" w:hAnsi="Times New Roman" w:cs="Times New Roman"/>
          <w:b w:val="0"/>
          <w:bCs/>
        </w:rPr>
        <w:t>2</w:t>
      </w:r>
      <w:r>
        <w:rPr>
          <w:rFonts w:hint="default" w:ascii="Times New Roman" w:hAnsi="Times New Roman" w:cs="Times New Roman"/>
          <w:b w:val="0"/>
          <w:bCs/>
        </w:rPr>
        <w:tab/>
      </w:r>
      <w:r>
        <w:rPr>
          <w:rFonts w:hint="default" w:ascii="Times New Roman" w:hAnsi="Times New Roman" w:cs="Times New Roman"/>
          <w:b w:val="0"/>
          <w:bCs/>
        </w:rPr>
        <w:t xml:space="preserve">Study how to use UL and DL spectrum more efficiently (e.g. decoupling of UL and DL, etc).  Understand the deployment scenarios and problems to address </w:t>
      </w:r>
    </w:p>
    <w:p w14:paraId="21B9930D">
      <w:pPr>
        <w:spacing w:before="120" w:beforeLines="50" w:after="120" w:afterLines="50" w:line="240" w:lineRule="auto"/>
        <w:rPr>
          <w:rFonts w:hint="default" w:ascii="Times New Roman" w:hAnsi="Times New Roman" w:cs="Times New Roman"/>
          <w:lang w:val="en-US" w:eastAsia="zh-CN"/>
        </w:rPr>
      </w:pPr>
      <w:r>
        <w:rPr>
          <w:rFonts w:hint="eastAsia" w:ascii="Times New Roman" w:hAnsi="Times New Roman" w:cs="Times New Roman"/>
          <w:lang w:val="en-US" w:eastAsia="zh-CN"/>
        </w:rPr>
        <w:t>This contribution focuses on the spectrum aggregation for 6GR.</w:t>
      </w:r>
    </w:p>
    <w:bookmarkEnd w:id="0"/>
    <w:p w14:paraId="4E3EA5F4">
      <w:pPr>
        <w:pStyle w:val="2"/>
        <w:keepLines/>
        <w:numPr>
          <w:ilvl w:val="0"/>
          <w:numId w:val="3"/>
        </w:numPr>
        <w:pBdr>
          <w:top w:val="single" w:color="auto" w:sz="12" w:space="3"/>
        </w:pBdr>
        <w:tabs>
          <w:tab w:val="left" w:pos="42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Discussion</w:t>
      </w:r>
    </w:p>
    <w:p w14:paraId="2E5BAFE3">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Spectrum aggregation in 5G</w:t>
      </w:r>
    </w:p>
    <w:p w14:paraId="762E241C">
      <w:pPr>
        <w:spacing w:before="120" w:beforeLines="50" w:after="120" w:afterLines="50" w:line="240" w:lineRule="auto"/>
        <w:jc w:val="both"/>
        <w:rPr>
          <w:rFonts w:hint="default" w:ascii="Times New Roman" w:hAnsi="Times New Roman" w:cs="Times New Roman"/>
        </w:rPr>
      </w:pPr>
      <w:r>
        <w:rPr>
          <w:rFonts w:hint="default" w:ascii="Times New Roman" w:hAnsi="Times New Roman" w:cs="Times New Roman"/>
        </w:rPr>
        <w:t>In 5G NR, spectrum aggregation (carrier aggregation, CA) has evolved from LTE-Advanced to support significantly wider bandwidth and higher data rates. 5G utilizes CA in both FR1 and FR2, supporting aggregation of up to 16 component carriers. This allows 5G to combine low, mid, and high frequency bands (including mmWave) to increase throughput and extend coverage. For example, inter-band carrier aggregation can pair a coverage layer with a capacity layer – an approach used to boost mid-band or high-band coverage by anchoring on a lower band. In practice, 5G CA employs a primary cell (PCell) for critical control (RRC signaling, PUCCH, etc.) and one or more secondary cells (SCells) for additional user plane capacity</w:t>
      </w:r>
      <w:r>
        <w:rPr>
          <w:rFonts w:hint="default" w:ascii="Times New Roman" w:hAnsi="Times New Roman" w:cs="Times New Roman"/>
        </w:rPr>
        <w:fldChar w:fldCharType="begin"/>
      </w:r>
      <w:r>
        <w:rPr>
          <w:rFonts w:hint="default" w:ascii="Times New Roman" w:hAnsi="Times New Roman" w:cs="Times New Roman"/>
        </w:rPr>
        <w:instrText xml:space="preserve"> HYPERLINK "https://info-nrlte.com/tag/carrier-aggregation/#:~:text=In%20the%20specifications%2C%20carrier%20aggregation,does%20not%20have%20to"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cs="Times New Roman"/>
        </w:rPr>
        <w:t>. Cross-carrier scheduling and tight RAN coordination allow a single device to be served over multiple carriers under one logical connection. This multi-carrier capability is fundamental to 5G’s high peak data rates and spectral flexibility.</w:t>
      </w:r>
    </w:p>
    <w:p w14:paraId="69E8CCFC">
      <w:pPr>
        <w:spacing w:before="120" w:beforeLines="50" w:after="120" w:afterLines="50" w:line="240" w:lineRule="auto"/>
        <w:rPr>
          <w:rFonts w:hint="default" w:ascii="Times New Roman" w:hAnsi="Times New Roman" w:cs="Times New Roman"/>
        </w:rPr>
      </w:pPr>
      <w:r>
        <w:rPr>
          <w:rFonts w:hint="default" w:ascii="Times New Roman" w:hAnsi="Times New Roman" w:cs="Times New Roman"/>
        </w:rPr>
        <w:t>However, 5G CA also exhibits several limitations. Each carrier (cell) must periodically transmit synchronization signals and system information (e.g. SS/PBCH blocks in NR) to allow UEs to discover and camp on it. In a multi-band network, this ubiquitous always-on signaling leads to high control overhead and increased energy consumption at the base station. Moreover, idle UEs can camp on only one cell at a time; they typically stay on the PCell (anchor carrier), which means paging and random access load is concentrated on that anchor. Small cells or secondary carriers are generally invisible to idle UEs to avoid excessive battery drain, resulting in under-utilization of those carriers until the UE is connected. The uniform design of reference signals and broadcast channels for all cells in 5G also lacks flexibility – it cannot distinguish between a coverage cell versus a capacity-only cell in terms of signaling load. These factors make 5G’s spectrum aggregation less efficient in heterogeneous deployments and as the number of aggregated carriers grows.</w:t>
      </w:r>
    </w:p>
    <w:p w14:paraId="26E93C29">
      <w:pPr>
        <w:spacing w:before="120" w:beforeLines="50" w:after="120" w:afterLines="50"/>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Observation 1: The current 5G CA approach is limited by high signaling overhead and inefficient use of multi-band resources in idle mode. In particular, every cell must continuously transmit common signals, consuming radio resources and power</w:t>
      </w:r>
      <w:r>
        <w:rPr>
          <w:rFonts w:hint="eastAsia" w:ascii="Times New Roman" w:hAnsi="Times New Roman" w:cs="Times New Roman"/>
          <w:b/>
          <w:bCs/>
          <w:i/>
          <w:iCs/>
          <w:szCs w:val="21"/>
          <w:lang w:val="en-US" w:eastAsia="zh-CN"/>
        </w:rPr>
        <w:t xml:space="preserve"> inefficiently.</w:t>
      </w:r>
    </w:p>
    <w:p w14:paraId="43B91EAE">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Spectrum aggregation requirements and challenges in 6GR</w:t>
      </w:r>
    </w:p>
    <w:p w14:paraId="1B67887A">
      <w:pPr>
        <w:spacing w:before="120" w:beforeLines="50" w:after="120" w:afterLines="50" w:line="240" w:lineRule="auto"/>
        <w:rPr>
          <w:rFonts w:hint="default" w:ascii="Times New Roman" w:hAnsi="Times New Roman" w:cs="Times New Roman"/>
        </w:rPr>
      </w:pPr>
      <w:r>
        <w:rPr>
          <w:rFonts w:hint="default" w:ascii="Times New Roman" w:hAnsi="Times New Roman" w:cs="Times New Roman"/>
        </w:rPr>
        <w:t>In 6G</w:t>
      </w:r>
      <w:r>
        <w:rPr>
          <w:rFonts w:hint="eastAsia" w:ascii="Times New Roman" w:hAnsi="Times New Roman" w:cs="Times New Roman"/>
          <w:lang w:val="en-US" w:eastAsia="zh-CN"/>
        </w:rPr>
        <w:t>R</w:t>
      </w:r>
      <w:r>
        <w:rPr>
          <w:rFonts w:hint="default" w:ascii="Times New Roman" w:hAnsi="Times New Roman" w:cs="Times New Roman"/>
        </w:rPr>
        <w:t>, spectrum aggregation will become even more critical to meet extreme performance targets. 6G</w:t>
      </w:r>
      <w:r>
        <w:rPr>
          <w:rFonts w:hint="eastAsia" w:ascii="Times New Roman" w:hAnsi="Times New Roman" w:cs="Times New Roman"/>
          <w:lang w:val="en-US" w:eastAsia="zh-CN"/>
        </w:rPr>
        <w:t>R</w:t>
      </w:r>
      <w:r>
        <w:rPr>
          <w:rFonts w:hint="default" w:ascii="Times New Roman" w:hAnsi="Times New Roman" w:cs="Times New Roman"/>
        </w:rPr>
        <w:t xml:space="preserve"> is expected to operate across a wider range of frequencies (including new cmWave bands around 7–</w:t>
      </w:r>
      <w:r>
        <w:rPr>
          <w:rFonts w:hint="eastAsia" w:ascii="Times New Roman" w:hAnsi="Times New Roman" w:cs="Times New Roman"/>
          <w:lang w:val="en-US" w:eastAsia="zh-CN"/>
        </w:rPr>
        <w:t>24</w:t>
      </w:r>
      <w:r>
        <w:rPr>
          <w:rFonts w:hint="default" w:ascii="Times New Roman" w:hAnsi="Times New Roman" w:cs="Times New Roman"/>
        </w:rPr>
        <w:t> GHz</w:t>
      </w:r>
      <w:r>
        <w:rPr>
          <w:rFonts w:hint="eastAsia" w:ascii="Times New Roman" w:hAnsi="Times New Roman" w:cs="Times New Roman"/>
          <w:lang w:val="en-US" w:eastAsia="zh-CN"/>
        </w:rPr>
        <w:t xml:space="preserve"> or even sub-THz</w:t>
      </w:r>
      <w:r>
        <w:rPr>
          <w:rFonts w:hint="default" w:ascii="Times New Roman" w:hAnsi="Times New Roman" w:cs="Times New Roman"/>
        </w:rPr>
        <w:t>) and deliver much higher peak data rates and traffic capacities. Achieving these goals will require aggregating many spectrum fragments into a cohesive service. Use cases such as immersive XR/holographic applications, ultra-high-definition media, and cloud gaming will demand bandwidths far exceeding what a single carrier can provide. Thus, 6G</w:t>
      </w:r>
      <w:r>
        <w:rPr>
          <w:rFonts w:hint="eastAsia" w:ascii="Times New Roman" w:hAnsi="Times New Roman" w:cs="Times New Roman"/>
          <w:lang w:val="en-US" w:eastAsia="zh-CN"/>
        </w:rPr>
        <w:t>R</w:t>
      </w:r>
      <w:r>
        <w:rPr>
          <w:rFonts w:hint="default" w:ascii="Times New Roman" w:hAnsi="Times New Roman" w:cs="Times New Roman"/>
        </w:rPr>
        <w:t xml:space="preserve"> must support aggregating a larger number of carriers (potentially across non-contiguous bands and diverse frequency ranges) in order to offer on the order of tens of GHz of total bandwidth when needed.</w:t>
      </w:r>
    </w:p>
    <w:p w14:paraId="3DC11FC4">
      <w:pPr>
        <w:spacing w:before="120" w:beforeLines="50" w:after="120" w:afterLines="50" w:line="240" w:lineRule="auto"/>
        <w:rPr>
          <w:rFonts w:hint="default" w:ascii="Times New Roman" w:hAnsi="Times New Roman" w:cs="Times New Roman"/>
        </w:rPr>
      </w:pPr>
      <w:r>
        <w:rPr>
          <w:rFonts w:hint="default" w:ascii="Times New Roman" w:hAnsi="Times New Roman" w:cs="Times New Roman"/>
        </w:rPr>
        <w:t>Additionally, 6G</w:t>
      </w:r>
      <w:r>
        <w:rPr>
          <w:rFonts w:hint="eastAsia" w:ascii="Times New Roman" w:hAnsi="Times New Roman" w:cs="Times New Roman"/>
          <w:lang w:val="en-US" w:eastAsia="zh-CN"/>
        </w:rPr>
        <w:t>R</w:t>
      </w:r>
      <w:r>
        <w:rPr>
          <w:rFonts w:hint="default" w:ascii="Times New Roman" w:hAnsi="Times New Roman" w:cs="Times New Roman"/>
        </w:rPr>
        <w:t xml:space="preserve"> networks must address new challenges in how spectrum aggregation is handled. Energy efficiency and overhead reduction are paramount – simply scaling up the 5G approach would lead to unmanageably high control overhead if each of dozens of carriers were always transmitting system information. A much more lean design is required, where the presence of multiple carriers does not translate to a proportional increase in always-on signaling. 6G</w:t>
      </w:r>
      <w:r>
        <w:rPr>
          <w:rFonts w:hint="eastAsia" w:ascii="Times New Roman" w:hAnsi="Times New Roman" w:cs="Times New Roman"/>
          <w:lang w:val="en-US" w:eastAsia="zh-CN"/>
        </w:rPr>
        <w:t>R</w:t>
      </w:r>
      <w:r>
        <w:rPr>
          <w:rFonts w:hint="default" w:ascii="Times New Roman" w:hAnsi="Times New Roman" w:cs="Times New Roman"/>
        </w:rPr>
        <w:t xml:space="preserve"> should enable dynamic activation of carriers on-demand: carriers not needed for current traffic should remain quiescent (no broadcasts), and wake up quickly when a UE or network has need for additional bandwidth. Another requirement is the ability to handle the heterogeneous propagation characteristics of different bands. For example, 6G</w:t>
      </w:r>
      <w:r>
        <w:rPr>
          <w:rFonts w:hint="eastAsia" w:ascii="Times New Roman" w:hAnsi="Times New Roman" w:cs="Times New Roman"/>
          <w:lang w:val="en-US" w:eastAsia="zh-CN"/>
        </w:rPr>
        <w:t>R</w:t>
      </w:r>
      <w:r>
        <w:rPr>
          <w:rFonts w:hint="default" w:ascii="Times New Roman" w:hAnsi="Times New Roman" w:cs="Times New Roman"/>
        </w:rPr>
        <w:t xml:space="preserve"> may pair a high-frequency band (providing a large data pipe) with a lower-frequency band (providing coverage and control) for the same connection. The architecture should seamlessly support such combinations to maximize both coverage and capacity. Furthermore, mobility and load balancing across multiple bands will be important – 6G UEs might move across coverage layers, so the aggregation framework must allow smooth transition and distribution of users across carriers (e.g. to prevent one anchor from being a single point of congestion). In summary, 6G spectrum aggregation needs to be more scalable, adaptive, and intelligent in managing multi-band resources.</w:t>
      </w:r>
    </w:p>
    <w:p w14:paraId="67558FDF">
      <w:pPr>
        <w:spacing w:before="120" w:beforeLines="50" w:after="120" w:afterLines="50"/>
        <w:rPr>
          <w:rFonts w:hint="eastAsia"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Observation 2: 6G</w:t>
      </w:r>
      <w:r>
        <w:rPr>
          <w:rFonts w:hint="eastAsia" w:ascii="Times New Roman" w:hAnsi="Times New Roman" w:cs="Times New Roman"/>
          <w:b/>
          <w:bCs/>
          <w:i/>
          <w:iCs/>
          <w:szCs w:val="21"/>
          <w:lang w:val="en-US" w:eastAsia="zh-CN"/>
        </w:rPr>
        <w:t>R</w:t>
      </w:r>
      <w:r>
        <w:rPr>
          <w:rFonts w:hint="default" w:ascii="Times New Roman" w:hAnsi="Times New Roman" w:cs="Times New Roman"/>
          <w:b/>
          <w:bCs/>
          <w:i/>
          <w:iCs/>
          <w:szCs w:val="21"/>
          <w:lang w:val="en-US" w:eastAsia="zh-CN"/>
        </w:rPr>
        <w:t xml:space="preserve"> will require an advanced spectrum aggregation framework that can efficiently handle many carriers across disparate bands with minimal overhead</w:t>
      </w:r>
      <w:r>
        <w:rPr>
          <w:rFonts w:hint="eastAsia" w:ascii="Times New Roman" w:hAnsi="Times New Roman" w:cs="Times New Roman"/>
          <w:b/>
          <w:bCs/>
          <w:i/>
          <w:iCs/>
          <w:szCs w:val="21"/>
          <w:lang w:val="en-US" w:eastAsia="zh-CN"/>
        </w:rPr>
        <w:t xml:space="preserve"> and maximal energy efficiency</w:t>
      </w:r>
      <w:r>
        <w:rPr>
          <w:rFonts w:hint="default" w:ascii="Times New Roman" w:hAnsi="Times New Roman" w:cs="Times New Roman"/>
          <w:b/>
          <w:bCs/>
          <w:i/>
          <w:iCs/>
          <w:szCs w:val="21"/>
          <w:lang w:val="en-US" w:eastAsia="zh-CN"/>
        </w:rPr>
        <w:t xml:space="preserve">. </w:t>
      </w:r>
    </w:p>
    <w:p w14:paraId="343EF175">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 S</w:t>
      </w:r>
      <w:r>
        <w:rPr>
          <w:rFonts w:hint="default" w:ascii="Times New Roman" w:hAnsi="Times New Roman" w:eastAsia="宋体" w:cs="Times New Roman"/>
          <w:sz w:val="24"/>
          <w:szCs w:val="24"/>
          <w:lang w:val="en-US" w:eastAsia="zh-CN"/>
        </w:rPr>
        <w:t>pectrum aggregation framework for 6GR</w:t>
      </w:r>
    </w:p>
    <w:p w14:paraId="631B0308">
      <w:pPr>
        <w:spacing w:before="120" w:beforeLines="50" w:after="120" w:afterLines="50" w:line="240" w:lineRule="auto"/>
        <w:rPr>
          <w:rFonts w:hint="default" w:ascii="Times New Roman" w:hAnsi="Times New Roman" w:cs="Times New Roman" w:eastAsiaTheme="minorEastAsia"/>
          <w:lang w:val="en-US" w:eastAsia="zh-CN"/>
        </w:rPr>
      </w:pPr>
      <w:r>
        <w:rPr>
          <w:rFonts w:hint="default" w:ascii="Times New Roman" w:hAnsi="Times New Roman" w:cs="Times New Roman"/>
        </w:rPr>
        <w:t>To meet the above 6G requirements, a high-level spectrum aggregation framework that introduces a hierarchical, two-tier arrangement of carriers</w:t>
      </w:r>
      <w:r>
        <w:rPr>
          <w:rFonts w:hint="eastAsia" w:ascii="Times New Roman" w:hAnsi="Times New Roman" w:cs="Times New Roman"/>
          <w:lang w:val="en-US" w:eastAsia="zh-CN"/>
        </w:rPr>
        <w:t xml:space="preserve"> in a single cell could be considered</w:t>
      </w:r>
      <w:r>
        <w:rPr>
          <w:rFonts w:hint="default" w:ascii="Times New Roman" w:hAnsi="Times New Roman" w:cs="Times New Roman"/>
        </w:rPr>
        <w:t xml:space="preserve">. </w:t>
      </w:r>
      <w:r>
        <w:rPr>
          <w:rFonts w:hint="eastAsia" w:ascii="Times New Roman" w:hAnsi="Times New Roman" w:cs="Times New Roman"/>
          <w:lang w:val="en-US" w:eastAsia="zh-CN"/>
        </w:rPr>
        <w:t>As illustrated in Figure 1, the key feature of the framework including:</w:t>
      </w:r>
    </w:p>
    <w:p w14:paraId="69CE4401">
      <w:pPr>
        <w:spacing w:before="120" w:beforeLines="50" w:after="120" w:afterLines="50" w:line="240" w:lineRule="auto"/>
        <w:jc w:val="center"/>
      </w:pPr>
      <w:r>
        <w:object>
          <v:shape id="_x0000_i1025" o:spt="75" type="#_x0000_t75" style="height:246.4pt;width:425.75pt;" o:ole="t" fillcolor="#FFFFFF" filled="f" o:preferrelative="t" stroked="f" coordsize="21600,21600">
            <v:path/>
            <v:fill on="f" color2="#FFFFFF" focussize="0,0"/>
            <v:stroke on="f" color="#000000" color2="#FFFFFF"/>
            <v:imagedata r:id="rId5" grayscale="f" bilevel="f" o:title=""/>
            <o:lock v:ext="edit" aspectratio="f"/>
            <w10:wrap type="none"/>
            <w10:anchorlock/>
          </v:shape>
          <o:OLEObject Type="Embed" ProgID="Visio.Drawing.15" ShapeID="_x0000_i1025" DrawAspect="Content" ObjectID="_1468075725" r:id="rId4">
            <o:LockedField>false</o:LockedField>
          </o:OLEObject>
        </w:object>
      </w:r>
    </w:p>
    <w:p w14:paraId="65C66DD8">
      <w:pPr>
        <w:numPr>
          <w:ilvl w:val="0"/>
          <w:numId w:val="0"/>
        </w:numPr>
        <w:spacing w:before="120" w:beforeLines="50" w:after="120" w:afterLines="50" w:line="240" w:lineRule="auto"/>
        <w:ind w:leftChars="0"/>
        <w:jc w:val="center"/>
        <w:rPr>
          <w:rFonts w:hint="default" w:ascii="Times New Roman" w:hAnsi="Times New Roman" w:cs="Times New Roman"/>
          <w:lang w:val="en-US" w:eastAsia="zh-CN"/>
        </w:rPr>
      </w:pPr>
      <w:r>
        <w:rPr>
          <w:rFonts w:hint="eastAsia" w:ascii="Times New Roman" w:hAnsi="Times New Roman" w:cs="Times New Roman"/>
          <w:lang w:val="en-US" w:eastAsia="zh-CN"/>
        </w:rPr>
        <w:t>Figure 1</w:t>
      </w:r>
    </w:p>
    <w:p w14:paraId="3D23EAF6">
      <w:pPr>
        <w:numPr>
          <w:ilvl w:val="0"/>
          <w:numId w:val="5"/>
        </w:numPr>
        <w:spacing w:before="120" w:beforeLines="50" w:after="120" w:afterLines="50" w:line="240" w:lineRule="auto"/>
        <w:ind w:left="420" w:leftChars="0" w:hanging="420" w:firstLineChars="0"/>
        <w:rPr>
          <w:rFonts w:hint="default"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Multiple Carrier Single Cell  (one Anchor + multiple Auxiliary)</w:t>
      </w:r>
    </w:p>
    <w:p w14:paraId="2B3EEAF9">
      <w:pPr>
        <w:numPr>
          <w:ilvl w:val="0"/>
          <w:numId w:val="0"/>
        </w:numPr>
        <w:spacing w:before="120" w:beforeLines="50" w:after="120" w:afterLines="50" w:line="240" w:lineRule="auto"/>
        <w:ind w:leftChars="0"/>
        <w:rPr>
          <w:rFonts w:hint="default" w:ascii="Times New Roman" w:hAnsi="Times New Roman" w:cs="Times New Roman"/>
        </w:rPr>
      </w:pPr>
      <w:r>
        <w:rPr>
          <w:rFonts w:hint="default" w:ascii="Times New Roman" w:hAnsi="Times New Roman" w:cs="Times New Roman"/>
        </w:rPr>
        <w:t>In this design, certain carrier act as primary anchor layer which provide basic coverage, broadcast common control information, and manage initial access for UEs. One or more auxiliary carriers</w:t>
      </w:r>
      <w:r>
        <w:rPr>
          <w:rFonts w:hint="eastAsia" w:ascii="Times New Roman" w:hAnsi="Times New Roman" w:cs="Times New Roman"/>
          <w:lang w:val="en-US" w:eastAsia="zh-CN"/>
        </w:rPr>
        <w:t xml:space="preserve"> </w:t>
      </w:r>
      <w:r>
        <w:rPr>
          <w:rFonts w:hint="default" w:ascii="Times New Roman" w:hAnsi="Times New Roman" w:cs="Times New Roman"/>
        </w:rPr>
        <w:t xml:space="preserve">are then associated with </w:t>
      </w:r>
      <w:r>
        <w:rPr>
          <w:rFonts w:hint="eastAsia" w:ascii="Times New Roman" w:hAnsi="Times New Roman" w:cs="Times New Roman"/>
          <w:lang w:val="en-US" w:eastAsia="zh-CN"/>
        </w:rPr>
        <w:t>the</w:t>
      </w:r>
      <w:r>
        <w:rPr>
          <w:rFonts w:hint="default" w:ascii="Times New Roman" w:hAnsi="Times New Roman" w:cs="Times New Roman"/>
        </w:rPr>
        <w:t xml:space="preserve"> anchor, forming a carrier group. The primary (anchor) carrier handles all the usual cell search and system acquisition procedures for idle UEs – it transmits the necessary synchronization signals and system information that any UE needs to camp on the network. Crucially, the anchor also broadcasts information about its auxiliary carriers (for example, their frequencies, bandwidth, and relevant configuration indices) within its system information. This enables UEs to be aware of available auxiliary carriers without those carriers needing to broadcast full system info themselves at all times. The auxiliary carriers can remain largely silent (no constant SSB/PBCH) until they are needed, thereby drastically cutting down unnecessary transmissions. When active, auxiliary carriers would use a lighter-weight synchronization or reference signal (potentially a different signal type from the anchor’s) suitable for measurement and data reception, but not for standalone cell selection. In essence, the anchor carrier</w:t>
      </w:r>
      <w:r>
        <w:rPr>
          <w:rFonts w:hint="eastAsia" w:ascii="Times New Roman" w:hAnsi="Times New Roman" w:cs="Times New Roman"/>
          <w:lang w:val="en-US" w:eastAsia="zh-CN"/>
        </w:rPr>
        <w:t xml:space="preserve"> </w:t>
      </w:r>
      <w:r>
        <w:rPr>
          <w:rFonts w:hint="default" w:ascii="Times New Roman" w:hAnsi="Times New Roman" w:cs="Times New Roman"/>
        </w:rPr>
        <w:t>provides an always-on umbrella under which additional carriers can be flexibly turned on.</w:t>
      </w:r>
    </w:p>
    <w:p w14:paraId="22E2D15C">
      <w:pPr>
        <w:numPr>
          <w:ilvl w:val="0"/>
          <w:numId w:val="0"/>
        </w:numPr>
        <w:spacing w:before="120" w:beforeLines="50" w:after="120" w:afterLines="50" w:line="240" w:lineRule="auto"/>
        <w:ind w:leftChars="0"/>
        <w:rPr>
          <w:rFonts w:hint="default" w:ascii="Times New Roman" w:hAnsi="Times New Roman" w:cs="Times New Roman"/>
        </w:rPr>
      </w:pPr>
      <w:r>
        <w:rPr>
          <w:rFonts w:hint="default" w:ascii="Times New Roman" w:hAnsi="Times New Roman" w:cs="Times New Roman"/>
          <w:b/>
          <w:bCs/>
          <w:i/>
          <w:iCs/>
          <w:szCs w:val="21"/>
          <w:lang w:val="en-US" w:eastAsia="zh-CN"/>
        </w:rPr>
        <w:t xml:space="preserve">Proposal 1: To adopt a </w:t>
      </w:r>
      <w:r>
        <w:rPr>
          <w:rFonts w:hint="eastAsia" w:ascii="Times New Roman" w:hAnsi="Times New Roman" w:cs="Times New Roman"/>
          <w:b/>
          <w:bCs/>
          <w:i/>
          <w:iCs/>
          <w:szCs w:val="21"/>
          <w:lang w:val="en-US" w:eastAsia="zh-CN"/>
        </w:rPr>
        <w:t>Multiple Carrier Single Cell</w:t>
      </w:r>
      <w:r>
        <w:rPr>
          <w:rFonts w:hint="default" w:ascii="Times New Roman" w:hAnsi="Times New Roman" w:cs="Times New Roman"/>
          <w:b/>
          <w:bCs/>
          <w:i/>
          <w:iCs/>
          <w:szCs w:val="21"/>
          <w:lang w:val="en-US" w:eastAsia="zh-CN"/>
        </w:rPr>
        <w:t xml:space="preserve"> architecture</w:t>
      </w:r>
      <w:r>
        <w:rPr>
          <w:rFonts w:hint="eastAsia" w:ascii="Times New Roman" w:hAnsi="Times New Roman" w:cs="Times New Roman"/>
          <w:b/>
          <w:bCs/>
          <w:i/>
          <w:iCs/>
          <w:szCs w:val="21"/>
          <w:lang w:val="en-US" w:eastAsia="zh-CN"/>
        </w:rPr>
        <w:t xml:space="preserve"> for </w:t>
      </w:r>
      <w:r>
        <w:rPr>
          <w:rFonts w:hint="default" w:ascii="Times New Roman" w:hAnsi="Times New Roman" w:cs="Times New Roman"/>
          <w:b/>
          <w:bCs/>
          <w:i/>
          <w:iCs/>
          <w:szCs w:val="21"/>
          <w:lang w:val="en-US" w:eastAsia="zh-CN"/>
        </w:rPr>
        <w:t>spectrum aggregation in 6G R, wherein a primary “anchor” carrier provides coverage and carries essential signals, and one or more auxiliary carriers are dynamically activated for additional capacity.</w:t>
      </w:r>
    </w:p>
    <w:p w14:paraId="48D5F539">
      <w:pPr>
        <w:numPr>
          <w:ilvl w:val="0"/>
          <w:numId w:val="5"/>
        </w:numPr>
        <w:spacing w:before="120" w:beforeLines="50" w:after="120" w:afterLines="50" w:line="240" w:lineRule="auto"/>
        <w:ind w:left="420" w:leftChars="0" w:hanging="420" w:firstLineChars="0"/>
        <w:rPr>
          <w:rFonts w:hint="default"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Early configuration for the spectrum aggregation with auxiliary carrier</w:t>
      </w:r>
    </w:p>
    <w:p w14:paraId="56F6845F">
      <w:pPr>
        <w:numPr>
          <w:ilvl w:val="0"/>
          <w:numId w:val="0"/>
        </w:numPr>
        <w:spacing w:before="120" w:beforeLines="50" w:after="120" w:afterLines="50" w:line="240" w:lineRule="auto"/>
        <w:ind w:leftChars="0"/>
        <w:rPr>
          <w:rFonts w:hint="default" w:ascii="Times New Roman" w:hAnsi="Times New Roman" w:cs="Times New Roman"/>
        </w:rPr>
      </w:pPr>
      <w:r>
        <w:rPr>
          <w:rFonts w:hint="default" w:ascii="Times New Roman" w:hAnsi="Times New Roman" w:cs="Times New Roman"/>
        </w:rPr>
        <w:t xml:space="preserve">In connected mode, the framework envisions that a UE’s RRC connection can span multiple carriers from the start. The base station might configure one or several auxiliary carriers for a UE at RRC setup (if the UE and its subscription indicate a need for multi-band operation). Alternatively, a fast RRC reconfiguration after connection setup can add additional carriers (similar to 5G’s SCell addition but streamlined since these carriers belong to the same logical cell group). </w:t>
      </w:r>
      <w:r>
        <w:rPr>
          <w:rFonts w:hint="eastAsia" w:ascii="Times New Roman" w:hAnsi="Times New Roman" w:cs="Times New Roman"/>
          <w:lang w:val="en-US" w:eastAsia="zh-CN"/>
        </w:rPr>
        <w:t>T</w:t>
      </w:r>
      <w:r>
        <w:rPr>
          <w:rFonts w:hint="default" w:ascii="Times New Roman" w:hAnsi="Times New Roman" w:cs="Times New Roman"/>
        </w:rPr>
        <w:t xml:space="preserve">he framework </w:t>
      </w:r>
      <w:r>
        <w:rPr>
          <w:rFonts w:hint="eastAsia" w:ascii="Times New Roman" w:hAnsi="Times New Roman" w:cs="Times New Roman"/>
          <w:lang w:val="en-US" w:eastAsia="zh-CN"/>
        </w:rPr>
        <w:t xml:space="preserve">will </w:t>
      </w:r>
      <w:r>
        <w:rPr>
          <w:rFonts w:hint="default" w:ascii="Times New Roman" w:hAnsi="Times New Roman" w:cs="Times New Roman"/>
        </w:rPr>
        <w:t xml:space="preserve">minimize the latency and signaling needed to utilize multiple </w:t>
      </w:r>
      <w:r>
        <w:rPr>
          <w:rFonts w:hint="default" w:ascii="Times New Roman" w:hAnsi="Times New Roman" w:cs="Times New Roman"/>
          <w:lang w:val="en-US" w:eastAsia="zh-CN"/>
        </w:rPr>
        <w:t>carriers for the spectrum aggregation</w:t>
      </w:r>
      <w:r>
        <w:rPr>
          <w:rFonts w:hint="default" w:ascii="Times New Roman" w:hAnsi="Times New Roman" w:cs="Times New Roman"/>
        </w:rPr>
        <w:t>, so that a 6G UE with multi-carrier capability can immediately enjoy aggregated throughput.</w:t>
      </w:r>
    </w:p>
    <w:p w14:paraId="2B4440DA">
      <w:pPr>
        <w:numPr>
          <w:ilvl w:val="0"/>
          <w:numId w:val="0"/>
        </w:numPr>
        <w:spacing w:before="120" w:beforeLines="50" w:after="120" w:afterLines="50" w:line="240" w:lineRule="auto"/>
        <w:ind w:leftChars="0"/>
        <w:rPr>
          <w:rFonts w:hint="default" w:ascii="Times New Roman" w:hAnsi="Times New Roman" w:cs="Times New Roman"/>
        </w:rPr>
      </w:pPr>
      <w:r>
        <w:rPr>
          <w:rFonts w:hint="default" w:ascii="Times New Roman" w:hAnsi="Times New Roman" w:cs="Times New Roman"/>
          <w:b/>
          <w:bCs/>
          <w:i/>
          <w:iCs/>
          <w:szCs w:val="21"/>
          <w:lang w:val="en-US" w:eastAsia="zh-CN"/>
        </w:rPr>
        <w:t xml:space="preserve">Proposal </w:t>
      </w:r>
      <w:r>
        <w:rPr>
          <w:rFonts w:hint="eastAsia" w:ascii="Times New Roman" w:hAnsi="Times New Roman" w:cs="Times New Roman"/>
          <w:b/>
          <w:bCs/>
          <w:i/>
          <w:iCs/>
          <w:szCs w:val="21"/>
          <w:lang w:val="en-US" w:eastAsia="zh-CN"/>
        </w:rPr>
        <w:t>2</w:t>
      </w:r>
      <w:r>
        <w:rPr>
          <w:rFonts w:hint="default" w:ascii="Times New Roman" w:hAnsi="Times New Roman" w:cs="Times New Roman"/>
          <w:b/>
          <w:bCs/>
          <w:i/>
          <w:iCs/>
          <w:szCs w:val="21"/>
          <w:lang w:val="en-US" w:eastAsia="zh-CN"/>
        </w:rPr>
        <w:t xml:space="preserve">: To configure one or several auxiliary carriers </w:t>
      </w:r>
      <w:r>
        <w:rPr>
          <w:rFonts w:hint="eastAsia" w:ascii="Times New Roman" w:hAnsi="Times New Roman" w:cs="Times New Roman"/>
          <w:b/>
          <w:bCs/>
          <w:i/>
          <w:iCs/>
          <w:szCs w:val="21"/>
          <w:lang w:val="en-US" w:eastAsia="zh-CN"/>
        </w:rPr>
        <w:t xml:space="preserve">earlier </w:t>
      </w:r>
      <w:r>
        <w:rPr>
          <w:rFonts w:hint="default" w:ascii="Times New Roman" w:hAnsi="Times New Roman" w:cs="Times New Roman"/>
          <w:b/>
          <w:bCs/>
          <w:i/>
          <w:iCs/>
          <w:szCs w:val="21"/>
          <w:lang w:val="en-US" w:eastAsia="zh-CN"/>
        </w:rPr>
        <w:t>for the spectrum aggregation</w:t>
      </w:r>
      <w:r>
        <w:rPr>
          <w:rFonts w:hint="eastAsia" w:ascii="Times New Roman" w:hAnsi="Times New Roman" w:cs="Times New Roman"/>
          <w:b/>
          <w:bCs/>
          <w:i/>
          <w:iCs/>
          <w:szCs w:val="21"/>
          <w:lang w:val="en-US" w:eastAsia="zh-CN"/>
        </w:rPr>
        <w:t xml:space="preserve"> in </w:t>
      </w:r>
      <w:r>
        <w:rPr>
          <w:rFonts w:hint="default" w:ascii="Times New Roman" w:hAnsi="Times New Roman" w:cs="Times New Roman"/>
          <w:b/>
          <w:bCs/>
          <w:i/>
          <w:iCs/>
          <w:szCs w:val="21"/>
          <w:lang w:val="en-US" w:eastAsia="zh-CN"/>
        </w:rPr>
        <w:t xml:space="preserve">a UE </w:t>
      </w:r>
      <w:r>
        <w:rPr>
          <w:rFonts w:hint="eastAsia" w:ascii="Times New Roman" w:hAnsi="Times New Roman" w:cs="Times New Roman"/>
          <w:b/>
          <w:bCs/>
          <w:i/>
          <w:iCs/>
          <w:szCs w:val="21"/>
          <w:lang w:val="en-US" w:eastAsia="zh-CN"/>
        </w:rPr>
        <w:t xml:space="preserve">to minimize the latency and signaling needed to utilize multiple </w:t>
      </w:r>
      <w:r>
        <w:rPr>
          <w:rFonts w:hint="default" w:ascii="Times New Roman" w:hAnsi="Times New Roman" w:cs="Times New Roman"/>
          <w:b/>
          <w:bCs/>
          <w:i/>
          <w:iCs/>
          <w:szCs w:val="21"/>
          <w:lang w:val="en-US" w:eastAsia="zh-CN"/>
        </w:rPr>
        <w:t>carriers</w:t>
      </w:r>
      <w:r>
        <w:rPr>
          <w:rFonts w:hint="eastAsia" w:ascii="Times New Roman" w:hAnsi="Times New Roman" w:cs="Times New Roman"/>
          <w:b/>
          <w:bCs/>
          <w:i/>
          <w:iCs/>
          <w:szCs w:val="21"/>
          <w:lang w:val="en-US" w:eastAsia="zh-CN"/>
        </w:rPr>
        <w:t>.</w:t>
      </w:r>
    </w:p>
    <w:p w14:paraId="65F756CB">
      <w:pPr>
        <w:numPr>
          <w:ilvl w:val="0"/>
          <w:numId w:val="5"/>
        </w:numPr>
        <w:spacing w:before="120" w:beforeLines="50" w:after="120" w:afterLines="50" w:line="240" w:lineRule="auto"/>
        <w:ind w:left="420" w:leftChars="0" w:hanging="420" w:firstLineChars="0"/>
        <w:rPr>
          <w:rFonts w:hint="default" w:ascii="Times New Roman" w:hAnsi="Times New Roman" w:cs="Times New Roman"/>
        </w:rPr>
      </w:pPr>
      <w:r>
        <w:rPr>
          <w:rFonts w:hint="eastAsia" w:ascii="Times New Roman" w:hAnsi="Times New Roman" w:eastAsia="宋体" w:cs="Times New Roman"/>
          <w:b/>
          <w:bCs/>
          <w:kern w:val="0"/>
          <w:sz w:val="24"/>
          <w:szCs w:val="24"/>
          <w:lang w:val="en-US" w:eastAsia="zh-CN" w:bidi="ar-SA"/>
        </w:rPr>
        <w:t>O</w:t>
      </w:r>
      <w:r>
        <w:rPr>
          <w:rFonts w:hint="default" w:ascii="Times New Roman" w:hAnsi="Times New Roman" w:eastAsia="宋体" w:cs="Times New Roman"/>
          <w:b/>
          <w:bCs/>
          <w:kern w:val="0"/>
          <w:sz w:val="24"/>
          <w:szCs w:val="24"/>
          <w:lang w:val="en-US" w:eastAsia="zh-CN" w:bidi="ar-SA"/>
        </w:rPr>
        <w:t>n-demand carrier wake-up</w:t>
      </w:r>
      <w:r>
        <w:rPr>
          <w:rFonts w:hint="eastAsia" w:ascii="Times New Roman" w:hAnsi="Times New Roman" w:eastAsia="宋体" w:cs="Times New Roman"/>
          <w:b/>
          <w:bCs/>
          <w:kern w:val="0"/>
          <w:sz w:val="24"/>
          <w:szCs w:val="24"/>
          <w:lang w:val="en-US" w:eastAsia="zh-CN" w:bidi="ar-SA"/>
        </w:rPr>
        <w:t xml:space="preserve"> and </w:t>
      </w:r>
      <w:r>
        <w:rPr>
          <w:rFonts w:hint="default" w:ascii="Times New Roman" w:hAnsi="Times New Roman" w:eastAsia="宋体" w:cs="Times New Roman"/>
          <w:b/>
          <w:bCs/>
          <w:kern w:val="0"/>
          <w:sz w:val="24"/>
          <w:szCs w:val="24"/>
          <w:lang w:val="en-US" w:eastAsia="zh-CN" w:bidi="ar-SA"/>
        </w:rPr>
        <w:t>activation</w:t>
      </w:r>
      <w:r>
        <w:rPr>
          <w:rFonts w:hint="eastAsia" w:ascii="Times New Roman" w:hAnsi="Times New Roman" w:eastAsia="宋体" w:cs="Times New Roman"/>
          <w:b/>
          <w:bCs/>
          <w:kern w:val="0"/>
          <w:sz w:val="24"/>
          <w:szCs w:val="24"/>
          <w:lang w:val="en-US" w:eastAsia="zh-CN" w:bidi="ar-SA"/>
        </w:rPr>
        <w:t xml:space="preserve"> for the spectrum aggregation:</w:t>
      </w:r>
    </w:p>
    <w:p w14:paraId="4D5B3B37">
      <w:pPr>
        <w:numPr>
          <w:ilvl w:val="0"/>
          <w:numId w:val="0"/>
        </w:numPr>
        <w:spacing w:before="120" w:beforeLines="50" w:after="120" w:afterLines="50" w:line="240" w:lineRule="auto"/>
        <w:ind w:leftChars="0"/>
        <w:rPr>
          <w:rFonts w:hint="default" w:ascii="Times New Roman" w:hAnsi="Times New Roman" w:cs="Times New Roman"/>
        </w:rPr>
      </w:pPr>
      <w:r>
        <w:rPr>
          <w:rFonts w:hint="eastAsia" w:ascii="Times New Roman" w:hAnsi="Times New Roman" w:cs="Times New Roman"/>
          <w:lang w:val="en-US" w:eastAsia="zh-CN"/>
        </w:rPr>
        <w:t xml:space="preserve">An on-demand auxiliary carrier wake-up mechanism is included in this framework. When a UE </w:t>
      </w:r>
      <w:r>
        <w:rPr>
          <w:rFonts w:hint="default" w:ascii="Times New Roman" w:hAnsi="Times New Roman" w:cs="Times New Roman"/>
        </w:rPr>
        <w:t>wishes to utilize a particular auxiliary carrier</w:t>
      </w:r>
      <w:r>
        <w:rPr>
          <w:rFonts w:hint="eastAsia" w:ascii="Times New Roman" w:hAnsi="Times New Roman" w:cs="Times New Roman"/>
          <w:lang w:val="en-US" w:eastAsia="zh-CN"/>
        </w:rPr>
        <w:t xml:space="preserve"> </w:t>
      </w:r>
      <w:r>
        <w:rPr>
          <w:rFonts w:hint="default" w:ascii="Times New Roman" w:hAnsi="Times New Roman" w:cs="Times New Roman"/>
        </w:rPr>
        <w:t>to camp on</w:t>
      </w:r>
      <w:r>
        <w:rPr>
          <w:rFonts w:hint="eastAsia" w:ascii="Times New Roman" w:hAnsi="Times New Roman" w:cs="Times New Roman"/>
          <w:lang w:val="en-US" w:eastAsia="zh-CN"/>
        </w:rPr>
        <w:t xml:space="preserve"> or receive/transmit data and the auxiliary carriers remain dormant, </w:t>
      </w:r>
      <w:r>
        <w:rPr>
          <w:rFonts w:hint="default" w:ascii="Times New Roman" w:hAnsi="Times New Roman" w:cs="Times New Roman"/>
        </w:rPr>
        <w:t xml:space="preserve">the UE could send a “auxiliary carrier wake-up” signal or message </w:t>
      </w:r>
      <w:r>
        <w:rPr>
          <w:rFonts w:hint="eastAsia" w:ascii="Times New Roman" w:hAnsi="Times New Roman" w:cs="Times New Roman"/>
          <w:lang w:val="en-US" w:eastAsia="zh-CN"/>
        </w:rPr>
        <w:t>through</w:t>
      </w:r>
      <w:r>
        <w:rPr>
          <w:rFonts w:hint="default" w:ascii="Times New Roman" w:hAnsi="Times New Roman" w:cs="Times New Roman"/>
        </w:rPr>
        <w:t xml:space="preserve"> the anchor. The </w:t>
      </w:r>
      <w:r>
        <w:rPr>
          <w:rFonts w:hint="eastAsia" w:ascii="Times New Roman" w:hAnsi="Times New Roman" w:cs="Times New Roman"/>
          <w:lang w:val="en-US" w:eastAsia="zh-CN"/>
        </w:rPr>
        <w:t>base station</w:t>
      </w:r>
      <w:r>
        <w:rPr>
          <w:rFonts w:hint="default" w:ascii="Times New Roman" w:hAnsi="Times New Roman" w:cs="Times New Roman"/>
        </w:rPr>
        <w:t>, upon receiving such a request, would enable transmissions (e.g. start broadcasting at least a minimal reference signal or SIB</w:t>
      </w:r>
      <w:r>
        <w:rPr>
          <w:rFonts w:hint="eastAsia" w:ascii="Times New Roman" w:hAnsi="Times New Roman" w:cs="Times New Roman"/>
          <w:lang w:val="en-US" w:eastAsia="zh-CN"/>
        </w:rPr>
        <w:t>s</w:t>
      </w:r>
      <w:r>
        <w:rPr>
          <w:rFonts w:hint="default" w:ascii="Times New Roman" w:hAnsi="Times New Roman" w:cs="Times New Roman"/>
        </w:rPr>
        <w:t>) on the requested auxiliary carrier, allowing the UE to then attach or use that carrier. This on-demand approach prevents auxiliary carrier from radiating unless a UE (or network load condition) explicitly requires it, thereby saving energy.</w:t>
      </w:r>
    </w:p>
    <w:p w14:paraId="7111009B">
      <w:pPr>
        <w:numPr>
          <w:ilvl w:val="0"/>
          <w:numId w:val="0"/>
        </w:numPr>
        <w:spacing w:before="120" w:beforeLines="50" w:after="120" w:afterLines="50" w:line="240" w:lineRule="auto"/>
        <w:ind w:leftChars="0"/>
        <w:rPr>
          <w:rFonts w:hint="default" w:ascii="Times New Roman" w:hAnsi="Times New Roman" w:cs="Times New Roman"/>
          <w:lang w:val="en-US" w:eastAsia="zh-CN"/>
        </w:rPr>
      </w:pPr>
      <w:r>
        <w:rPr>
          <w:rFonts w:hint="eastAsia" w:ascii="Times New Roman" w:hAnsi="Times New Roman" w:cs="Times New Roman"/>
          <w:lang w:val="en-US" w:eastAsia="zh-CN"/>
        </w:rPr>
        <w:t xml:space="preserve">An on-demand auxiliary carrier activation/deactivation mechanism is also included in this framework. When a UE is configured with one or more auxiliary carriers (in addition to an anchor carrier), these auxiliary carriers can be activated or deactivated </w:t>
      </w:r>
      <w:r>
        <w:rPr>
          <w:rFonts w:hint="default" w:ascii="Times New Roman" w:hAnsi="Times New Roman" w:cs="Times New Roman"/>
          <w:lang w:val="en-US" w:eastAsia="zh-CN"/>
        </w:rPr>
        <w:t>for the spectrum aggregation</w:t>
      </w:r>
      <w:r>
        <w:rPr>
          <w:rFonts w:hint="eastAsia" w:ascii="Times New Roman" w:hAnsi="Times New Roman" w:cs="Times New Roman"/>
          <w:lang w:val="en-US" w:eastAsia="zh-CN"/>
        </w:rPr>
        <w:t xml:space="preserve"> on-demand based on the UE’s service needs or network conditions. If the UE operating on the anchor carrier requires a higher data rate (or if the network anticipates additional capacity needs), the UE may request activation of a specific auxiliary carrier </w:t>
      </w:r>
      <w:r>
        <w:rPr>
          <w:rFonts w:hint="default" w:ascii="Times New Roman" w:hAnsi="Times New Roman" w:cs="Times New Roman"/>
          <w:lang w:val="en-US" w:eastAsia="zh-CN"/>
        </w:rPr>
        <w:t>for the spectrum aggregation</w:t>
      </w:r>
      <w:r>
        <w:rPr>
          <w:rFonts w:hint="eastAsia" w:ascii="Times New Roman" w:hAnsi="Times New Roman" w:cs="Times New Roman"/>
          <w:lang w:val="en-US" w:eastAsia="zh-CN"/>
        </w:rPr>
        <w:t>. Analogous to the 5G secondary cell (SCell) activation procedure, the gNB can dynamically activate or deactivate one or more configured auxiliary carriers using a Medium Access Control control element (MAC CE). This on-demand approach ensures that auxiliary carriers are not activated unless they are required, thereby avoiding UE</w:t>
      </w:r>
      <w:r>
        <w:rPr>
          <w:rFonts w:hint="default" w:ascii="Times New Roman" w:hAnsi="Times New Roman" w:cs="Times New Roman"/>
          <w:lang w:val="en-US" w:eastAsia="zh-CN"/>
        </w:rPr>
        <w:t>’</w:t>
      </w:r>
      <w:r>
        <w:rPr>
          <w:rFonts w:hint="eastAsia" w:ascii="Times New Roman" w:hAnsi="Times New Roman" w:cs="Times New Roman"/>
          <w:lang w:val="en-US" w:eastAsia="zh-CN"/>
        </w:rPr>
        <w:t>s unnecessary receiving/transmissions and saving energy.</w:t>
      </w:r>
    </w:p>
    <w:p w14:paraId="552FCF5C">
      <w:pPr>
        <w:numPr>
          <w:ilvl w:val="0"/>
          <w:numId w:val="0"/>
        </w:numPr>
        <w:spacing w:before="120" w:beforeLines="50" w:after="120" w:afterLines="50" w:line="240" w:lineRule="auto"/>
        <w:ind w:leftChars="0"/>
        <w:rPr>
          <w:rFonts w:hint="default" w:ascii="Times New Roman" w:hAnsi="Times New Roman" w:cs="Times New Roman"/>
        </w:rPr>
      </w:pPr>
      <w:r>
        <w:rPr>
          <w:rFonts w:hint="default" w:ascii="Times New Roman" w:hAnsi="Times New Roman" w:cs="Times New Roman"/>
          <w:b/>
          <w:bCs/>
          <w:i/>
          <w:iCs/>
          <w:szCs w:val="21"/>
          <w:lang w:val="en-US" w:eastAsia="zh-CN"/>
        </w:rPr>
        <w:t xml:space="preserve">Proposal </w:t>
      </w:r>
      <w:r>
        <w:rPr>
          <w:rFonts w:hint="eastAsia" w:ascii="Times New Roman" w:hAnsi="Times New Roman" w:cs="Times New Roman"/>
          <w:b/>
          <w:bCs/>
          <w:i/>
          <w:iCs/>
          <w:szCs w:val="21"/>
          <w:lang w:val="en-US" w:eastAsia="zh-CN"/>
        </w:rPr>
        <w:t>3</w:t>
      </w:r>
      <w:r>
        <w:rPr>
          <w:rFonts w:hint="default" w:ascii="Times New Roman" w:hAnsi="Times New Roman" w:cs="Times New Roman"/>
          <w:b/>
          <w:bCs/>
          <w:i/>
          <w:iCs/>
          <w:szCs w:val="21"/>
          <w:lang w:val="en-US" w:eastAsia="zh-CN"/>
        </w:rPr>
        <w:t xml:space="preserve">: To </w:t>
      </w:r>
      <w:r>
        <w:rPr>
          <w:rFonts w:hint="eastAsia" w:ascii="Times New Roman" w:hAnsi="Times New Roman" w:cs="Times New Roman"/>
          <w:b/>
          <w:bCs/>
          <w:i/>
          <w:iCs/>
          <w:szCs w:val="21"/>
          <w:lang w:val="en-US" w:eastAsia="zh-CN"/>
        </w:rPr>
        <w:t>support</w:t>
      </w:r>
      <w:r>
        <w:rPr>
          <w:rFonts w:hint="default" w:ascii="Times New Roman" w:hAnsi="Times New Roman" w:cs="Times New Roman"/>
          <w:b/>
          <w:bCs/>
          <w:i/>
          <w:iCs/>
          <w:szCs w:val="21"/>
          <w:lang w:val="en-US" w:eastAsia="zh-CN"/>
        </w:rPr>
        <w:t xml:space="preserve"> On-demand carrier wake-up and activation</w:t>
      </w:r>
      <w:r>
        <w:rPr>
          <w:rFonts w:hint="eastAsia" w:ascii="Times New Roman" w:hAnsi="Times New Roman" w:cs="Times New Roman"/>
          <w:b/>
          <w:bCs/>
          <w:i/>
          <w:iCs/>
          <w:szCs w:val="21"/>
          <w:lang w:val="en-US" w:eastAsia="zh-CN"/>
        </w:rPr>
        <w:t xml:space="preserve"> mechanism </w:t>
      </w:r>
      <w:r>
        <w:rPr>
          <w:rFonts w:hint="default" w:ascii="Times New Roman" w:hAnsi="Times New Roman" w:cs="Times New Roman"/>
          <w:b/>
          <w:bCs/>
          <w:i/>
          <w:iCs/>
          <w:szCs w:val="21"/>
          <w:lang w:val="en-US" w:eastAsia="zh-CN"/>
        </w:rPr>
        <w:t>for the spectrum aggregation</w:t>
      </w:r>
      <w:r>
        <w:rPr>
          <w:rFonts w:hint="eastAsia" w:ascii="Times New Roman" w:hAnsi="Times New Roman" w:cs="Times New Roman"/>
          <w:b/>
          <w:bCs/>
          <w:i/>
          <w:iCs/>
          <w:szCs w:val="21"/>
          <w:lang w:val="en-US" w:eastAsia="zh-CN"/>
        </w:rPr>
        <w:t xml:space="preserve"> in MCSC to save energy for both UE and Network</w:t>
      </w:r>
      <w:r>
        <w:rPr>
          <w:rFonts w:hint="default" w:ascii="Times New Roman" w:hAnsi="Times New Roman" w:cs="Times New Roman"/>
          <w:b/>
          <w:bCs/>
          <w:i/>
          <w:iCs/>
          <w:szCs w:val="21"/>
          <w:lang w:val="en-US" w:eastAsia="zh-CN"/>
        </w:rPr>
        <w:t>.</w:t>
      </w:r>
    </w:p>
    <w:p w14:paraId="6F68DA6F">
      <w:pPr>
        <w:numPr>
          <w:ilvl w:val="0"/>
          <w:numId w:val="5"/>
        </w:numPr>
        <w:spacing w:before="120" w:beforeLines="50" w:after="120" w:afterLines="50" w:line="240" w:lineRule="auto"/>
        <w:ind w:left="420" w:leftChars="0" w:hanging="420" w:firstLineChars="0"/>
        <w:rPr>
          <w:rFonts w:hint="default"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D</w:t>
      </w:r>
      <w:r>
        <w:rPr>
          <w:rFonts w:hint="default" w:ascii="Times New Roman" w:hAnsi="Times New Roman" w:eastAsia="宋体" w:cs="Times New Roman"/>
          <w:b/>
          <w:bCs/>
          <w:kern w:val="0"/>
          <w:sz w:val="24"/>
          <w:szCs w:val="24"/>
          <w:lang w:val="en-US" w:eastAsia="zh-CN" w:bidi="ar-SA"/>
        </w:rPr>
        <w:t xml:space="preserve">istribute </w:t>
      </w:r>
      <w:r>
        <w:rPr>
          <w:rFonts w:hint="eastAsia" w:ascii="Times New Roman" w:hAnsi="Times New Roman" w:eastAsia="宋体" w:cs="Times New Roman"/>
          <w:b/>
          <w:bCs/>
          <w:kern w:val="0"/>
          <w:sz w:val="24"/>
          <w:szCs w:val="24"/>
          <w:lang w:val="en-US" w:eastAsia="zh-CN" w:bidi="ar-SA"/>
        </w:rPr>
        <w:t xml:space="preserve">idle </w:t>
      </w:r>
      <w:r>
        <w:rPr>
          <w:rFonts w:hint="default" w:ascii="Times New Roman" w:hAnsi="Times New Roman" w:eastAsia="宋体" w:cs="Times New Roman"/>
          <w:b/>
          <w:bCs/>
          <w:kern w:val="0"/>
          <w:sz w:val="24"/>
          <w:szCs w:val="24"/>
          <w:lang w:val="en-US" w:eastAsia="zh-CN" w:bidi="ar-SA"/>
        </w:rPr>
        <w:t>UEs across carrier in a controlled way</w:t>
      </w:r>
    </w:p>
    <w:p w14:paraId="2FF6DDBD">
      <w:pPr>
        <w:numPr>
          <w:ilvl w:val="0"/>
          <w:numId w:val="0"/>
        </w:numPr>
        <w:spacing w:before="120" w:beforeLines="50" w:after="120" w:afterLines="50" w:line="240" w:lineRule="auto"/>
        <w:ind w:leftChars="0"/>
        <w:rPr>
          <w:rFonts w:hint="default" w:ascii="Times New Roman" w:hAnsi="Times New Roman" w:cs="Times New Roman"/>
        </w:rPr>
      </w:pPr>
      <w:r>
        <w:rPr>
          <w:rFonts w:hint="default" w:ascii="Times New Roman" w:hAnsi="Times New Roman" w:cs="Times New Roman"/>
        </w:rPr>
        <w:t xml:space="preserve">In idle mode, this framework allows the network to distribute UEs across carrier in a controlled way. By using broadcasted configurations, a UE that has camped on an anchor can be instructed or attracted (via cell reselection parameters) to move to an auxiliary carrier for idle camping under certain conditions. For example, the network might designate that </w:t>
      </w:r>
      <w:r>
        <w:rPr>
          <w:rFonts w:hint="eastAsia" w:ascii="Times New Roman" w:hAnsi="Times New Roman" w:cs="Times New Roman"/>
          <w:lang w:val="en-US" w:eastAsia="zh-CN"/>
        </w:rPr>
        <w:t>a</w:t>
      </w:r>
      <w:r>
        <w:rPr>
          <w:rFonts w:hint="default" w:ascii="Times New Roman" w:hAnsi="Times New Roman" w:cs="Times New Roman"/>
        </w:rPr>
        <w:t xml:space="preserve"> auxiliary carrier is preferred for IoT-type devices or for UEs with certain service requirements, and UEs meeting those criteria could reselect to that carrier if its signal is acceptable. This ensures not all idle devices stay on one carrier, alleviating the anchor’s paging </w:t>
      </w:r>
      <w:r>
        <w:rPr>
          <w:rFonts w:hint="eastAsia" w:ascii="Times New Roman" w:hAnsi="Times New Roman" w:cs="Times New Roman"/>
          <w:lang w:val="en-US" w:eastAsia="zh-CN"/>
        </w:rPr>
        <w:t xml:space="preserve">and RACH </w:t>
      </w:r>
      <w:r>
        <w:rPr>
          <w:rFonts w:hint="default" w:ascii="Times New Roman" w:hAnsi="Times New Roman" w:cs="Times New Roman"/>
        </w:rPr>
        <w:t xml:space="preserve">load. At the same time, if the UE on a auxiliary carrier goes out of coverage of that carrier, it can fall back to the anchor which is always providing baseline coverage. </w:t>
      </w:r>
    </w:p>
    <w:p w14:paraId="0CCB5EAB">
      <w:pPr>
        <w:numPr>
          <w:ilvl w:val="0"/>
          <w:numId w:val="0"/>
        </w:numPr>
        <w:spacing w:before="120" w:beforeLines="50" w:after="120" w:afterLines="50" w:line="240" w:lineRule="auto"/>
        <w:ind w:leftChars="0"/>
        <w:rPr>
          <w:rFonts w:hint="default" w:ascii="Times New Roman" w:hAnsi="Times New Roman" w:cs="Times New Roman"/>
        </w:rPr>
      </w:pPr>
      <w:r>
        <w:rPr>
          <w:rFonts w:hint="default" w:ascii="Times New Roman" w:hAnsi="Times New Roman" w:cs="Times New Roman"/>
          <w:b/>
          <w:bCs/>
          <w:i/>
          <w:iCs/>
          <w:szCs w:val="21"/>
          <w:lang w:val="en-US" w:eastAsia="zh-CN"/>
        </w:rPr>
        <w:t xml:space="preserve">Proposal </w:t>
      </w:r>
      <w:r>
        <w:rPr>
          <w:rFonts w:hint="eastAsia" w:ascii="Times New Roman" w:hAnsi="Times New Roman" w:cs="Times New Roman"/>
          <w:b/>
          <w:bCs/>
          <w:i/>
          <w:iCs/>
          <w:szCs w:val="21"/>
          <w:lang w:val="en-US" w:eastAsia="zh-CN"/>
        </w:rPr>
        <w:t>4</w:t>
      </w:r>
      <w:r>
        <w:rPr>
          <w:rFonts w:hint="default" w:ascii="Times New Roman" w:hAnsi="Times New Roman" w:cs="Times New Roman"/>
          <w:b/>
          <w:bCs/>
          <w:i/>
          <w:iCs/>
          <w:szCs w:val="21"/>
          <w:lang w:val="en-US" w:eastAsia="zh-CN"/>
        </w:rPr>
        <w:t xml:space="preserve">: </w:t>
      </w:r>
      <w:r>
        <w:rPr>
          <w:rFonts w:hint="eastAsia" w:ascii="Times New Roman" w:hAnsi="Times New Roman" w:cs="Times New Roman"/>
          <w:b/>
          <w:bCs/>
          <w:i/>
          <w:iCs/>
          <w:szCs w:val="21"/>
          <w:lang w:val="en-US" w:eastAsia="zh-CN"/>
        </w:rPr>
        <w:t xml:space="preserve">To distribute idle UEs across carriers in MCSC </w:t>
      </w:r>
      <w:r>
        <w:rPr>
          <w:rFonts w:hint="default" w:ascii="Times New Roman" w:hAnsi="Times New Roman" w:cs="Times New Roman"/>
          <w:b/>
          <w:bCs/>
          <w:i/>
          <w:iCs/>
          <w:szCs w:val="21"/>
          <w:lang w:val="en-US" w:eastAsia="zh-CN"/>
        </w:rPr>
        <w:t>in a controlled way</w:t>
      </w:r>
      <w:r>
        <w:rPr>
          <w:rFonts w:hint="eastAsia" w:ascii="Times New Roman" w:hAnsi="Times New Roman" w:cs="Times New Roman"/>
          <w:b/>
          <w:bCs/>
          <w:i/>
          <w:iCs/>
          <w:szCs w:val="21"/>
          <w:lang w:val="en-US" w:eastAsia="zh-CN"/>
        </w:rPr>
        <w:t xml:space="preserve"> to balance the paging and RACH load</w:t>
      </w:r>
      <w:r>
        <w:rPr>
          <w:rFonts w:hint="default" w:ascii="Times New Roman" w:hAnsi="Times New Roman" w:cs="Times New Roman"/>
          <w:b/>
          <w:bCs/>
          <w:i/>
          <w:iCs/>
          <w:szCs w:val="21"/>
          <w:lang w:val="en-US" w:eastAsia="zh-CN"/>
        </w:rPr>
        <w:t>.</w:t>
      </w:r>
    </w:p>
    <w:p w14:paraId="1D65A931">
      <w:pPr>
        <w:spacing w:before="120" w:beforeLines="50" w:after="120" w:afterLines="50" w:line="240" w:lineRule="auto"/>
        <w:rPr>
          <w:rFonts w:hint="default" w:ascii="Times New Roman" w:hAnsi="Times New Roman" w:cs="Times New Roman"/>
        </w:rPr>
      </w:pPr>
      <w:r>
        <w:rPr>
          <w:rFonts w:hint="default" w:ascii="Times New Roman" w:hAnsi="Times New Roman" w:cs="Times New Roman"/>
        </w:rPr>
        <w:t xml:space="preserve">This high-level spectrum aggregation scheme </w:t>
      </w:r>
      <w:r>
        <w:rPr>
          <w:rFonts w:hint="eastAsia" w:ascii="Times New Roman" w:hAnsi="Times New Roman" w:cs="Times New Roman"/>
          <w:lang w:val="en-US" w:eastAsia="zh-CN"/>
        </w:rPr>
        <w:t xml:space="preserve">at least </w:t>
      </w:r>
      <w:r>
        <w:rPr>
          <w:rFonts w:hint="default" w:ascii="Times New Roman" w:hAnsi="Times New Roman" w:cs="Times New Roman"/>
        </w:rPr>
        <w:t>offers substantial benefits</w:t>
      </w:r>
      <w:r>
        <w:rPr>
          <w:rFonts w:hint="eastAsia" w:ascii="Times New Roman" w:hAnsi="Times New Roman" w:cs="Times New Roman"/>
          <w:lang w:val="en-US" w:eastAsia="zh-CN"/>
        </w:rPr>
        <w:t xml:space="preserve"> as follows</w:t>
      </w:r>
      <w:r>
        <w:rPr>
          <w:rFonts w:hint="default" w:ascii="Times New Roman" w:hAnsi="Times New Roman" w:cs="Times New Roman"/>
        </w:rPr>
        <w:t xml:space="preserve">. </w:t>
      </w:r>
    </w:p>
    <w:p w14:paraId="7F1E9945">
      <w:pPr>
        <w:numPr>
          <w:ilvl w:val="0"/>
          <w:numId w:val="6"/>
        </w:numPr>
        <w:spacing w:before="120" w:beforeLines="50" w:after="120" w:afterLines="50" w:line="240" w:lineRule="auto"/>
        <w:ind w:left="420" w:leftChars="0" w:hanging="420" w:firstLineChars="0"/>
        <w:rPr>
          <w:rFonts w:hint="default" w:ascii="Times New Roman" w:hAnsi="Times New Roman" w:cs="Times New Roman"/>
        </w:rPr>
      </w:pPr>
      <w:r>
        <w:rPr>
          <w:rFonts w:hint="eastAsia" w:ascii="Times New Roman" w:hAnsi="Times New Roman" w:cs="Times New Roman"/>
          <w:b/>
          <w:bCs/>
          <w:lang w:val="en-US" w:eastAsia="zh-CN"/>
        </w:rPr>
        <w:t>Reduced overhead:</w:t>
      </w:r>
      <w:r>
        <w:rPr>
          <w:rFonts w:hint="eastAsia" w:ascii="Times New Roman" w:hAnsi="Times New Roman" w:cs="Times New Roman"/>
          <w:lang w:val="en-US" w:eastAsia="zh-CN"/>
        </w:rPr>
        <w:t xml:space="preserve"> </w:t>
      </w:r>
      <w:r>
        <w:rPr>
          <w:rFonts w:hint="default" w:ascii="Times New Roman" w:hAnsi="Times New Roman" w:cs="Times New Roman"/>
        </w:rPr>
        <w:t xml:space="preserve">Network overhead is reduced because only the anchor carrier continuously transmit system information, while auxiliary carriers do not broadcast when idle. This translates to lower interference and power consumption, as fewer carriers are active at any given time. </w:t>
      </w:r>
    </w:p>
    <w:p w14:paraId="6561C340">
      <w:pPr>
        <w:numPr>
          <w:ilvl w:val="0"/>
          <w:numId w:val="6"/>
        </w:numPr>
        <w:spacing w:before="120" w:beforeLines="50" w:after="120" w:afterLines="50" w:line="240" w:lineRule="auto"/>
        <w:ind w:left="420" w:leftChars="0" w:hanging="420" w:firstLineChars="0"/>
        <w:rPr>
          <w:rFonts w:hint="default" w:ascii="Times New Roman" w:hAnsi="Times New Roman" w:cs="Times New Roman"/>
        </w:rPr>
      </w:pPr>
      <w:r>
        <w:rPr>
          <w:rFonts w:hint="eastAsia" w:ascii="Times New Roman" w:hAnsi="Times New Roman" w:cs="Times New Roman"/>
          <w:b/>
          <w:bCs/>
          <w:lang w:val="en-US" w:eastAsia="zh-CN"/>
        </w:rPr>
        <w:t>Balanced Paging and RACH load:</w:t>
      </w:r>
      <w:r>
        <w:rPr>
          <w:rFonts w:hint="eastAsia" w:ascii="Times New Roman" w:hAnsi="Times New Roman" w:cs="Times New Roman"/>
          <w:lang w:val="en-US" w:eastAsia="zh-CN"/>
        </w:rPr>
        <w:t xml:space="preserve"> </w:t>
      </w:r>
      <w:r>
        <w:rPr>
          <w:rFonts w:hint="default" w:ascii="Times New Roman" w:hAnsi="Times New Roman" w:cs="Times New Roman"/>
        </w:rPr>
        <w:t xml:space="preserve">Paging and random access load can be spread out: rather than millions of idle UEs all using a single anchor carrier, some UEs will reside on auxiliary carriers and can be paged there, preventing overload on one channel. </w:t>
      </w:r>
    </w:p>
    <w:p w14:paraId="1B56DC08">
      <w:pPr>
        <w:numPr>
          <w:ilvl w:val="0"/>
          <w:numId w:val="6"/>
        </w:numPr>
        <w:spacing w:before="120" w:beforeLines="50" w:after="120" w:afterLines="50" w:line="240" w:lineRule="auto"/>
        <w:ind w:left="420" w:leftChars="0" w:hanging="420" w:firstLineChars="0"/>
        <w:rPr>
          <w:rFonts w:hint="default" w:ascii="Times New Roman" w:hAnsi="Times New Roman" w:cs="Times New Roman"/>
        </w:rPr>
      </w:pPr>
      <w:r>
        <w:rPr>
          <w:rFonts w:hint="eastAsia" w:ascii="Times New Roman" w:hAnsi="Times New Roman" w:cs="Times New Roman"/>
          <w:b/>
          <w:bCs/>
          <w:lang w:val="en-US" w:eastAsia="zh-CN"/>
        </w:rPr>
        <w:t>S</w:t>
      </w:r>
      <w:r>
        <w:rPr>
          <w:rFonts w:hint="default" w:ascii="Times New Roman" w:hAnsi="Times New Roman" w:cs="Times New Roman"/>
          <w:b/>
          <w:bCs/>
        </w:rPr>
        <w:t>calable</w:t>
      </w:r>
      <w:r>
        <w:rPr>
          <w:rFonts w:hint="eastAsia" w:ascii="Times New Roman" w:hAnsi="Times New Roman" w:cs="Times New Roman"/>
          <w:b/>
          <w:bCs/>
          <w:lang w:val="en-US" w:eastAsia="zh-CN"/>
        </w:rPr>
        <w:t xml:space="preserve"> </w:t>
      </w:r>
      <w:r>
        <w:rPr>
          <w:rFonts w:hint="default" w:ascii="Times New Roman" w:hAnsi="Times New Roman" w:cs="Times New Roman"/>
          <w:b/>
          <w:bCs/>
        </w:rPr>
        <w:t>Capacity</w:t>
      </w:r>
      <w:r>
        <w:rPr>
          <w:rFonts w:hint="eastAsia" w:ascii="Times New Roman" w:hAnsi="Times New Roman" w:cs="Times New Roman"/>
          <w:b/>
          <w:bCs/>
          <w:lang w:val="en-US" w:eastAsia="zh-CN"/>
        </w:rPr>
        <w:t>:</w:t>
      </w:r>
      <w:r>
        <w:rPr>
          <w:rFonts w:hint="eastAsia" w:ascii="Times New Roman" w:hAnsi="Times New Roman" w:cs="Times New Roman"/>
          <w:lang w:val="en-US" w:eastAsia="zh-CN"/>
        </w:rPr>
        <w:t xml:space="preserve"> </w:t>
      </w:r>
      <w:r>
        <w:rPr>
          <w:rFonts w:hint="default" w:ascii="Times New Roman" w:hAnsi="Times New Roman" w:cs="Times New Roman"/>
        </w:rPr>
        <w:t>Capacity is readily scalable – whenever high throughput is needed, additional carrier</w:t>
      </w:r>
      <w:r>
        <w:rPr>
          <w:rFonts w:hint="eastAsia" w:ascii="Times New Roman" w:hAnsi="Times New Roman" w:cs="Times New Roman"/>
          <w:lang w:val="en-US" w:eastAsia="zh-CN"/>
        </w:rPr>
        <w:t xml:space="preserve"> </w:t>
      </w:r>
      <w:r>
        <w:rPr>
          <w:rFonts w:hint="default" w:ascii="Times New Roman" w:hAnsi="Times New Roman" w:cs="Times New Roman"/>
        </w:rPr>
        <w:t xml:space="preserve">is at the network’s disposal via quick activation of auxiliary carriers, without the UE needing a brand new cell search or a complicated inter-frequency handover. </w:t>
      </w:r>
    </w:p>
    <w:p w14:paraId="5C65683F">
      <w:pPr>
        <w:numPr>
          <w:ilvl w:val="0"/>
          <w:numId w:val="6"/>
        </w:numPr>
        <w:spacing w:before="120" w:beforeLines="50" w:after="120" w:afterLines="50" w:line="240" w:lineRule="auto"/>
        <w:ind w:left="420" w:leftChars="0" w:hanging="420" w:firstLineChars="0"/>
        <w:rPr>
          <w:rFonts w:hint="default" w:ascii="Times New Roman" w:hAnsi="Times New Roman" w:cs="Times New Roman"/>
        </w:rPr>
      </w:pPr>
      <w:r>
        <w:rPr>
          <w:rFonts w:hint="eastAsia" w:ascii="Times New Roman" w:hAnsi="Times New Roman" w:cs="Times New Roman"/>
          <w:b/>
          <w:bCs/>
          <w:lang w:val="en-US" w:eastAsia="zh-CN"/>
        </w:rPr>
        <w:t>Improved User experience:</w:t>
      </w:r>
      <w:r>
        <w:rPr>
          <w:rFonts w:hint="eastAsia" w:ascii="Times New Roman" w:hAnsi="Times New Roman" w:cs="Times New Roman"/>
          <w:lang w:val="en-US" w:eastAsia="zh-CN"/>
        </w:rPr>
        <w:t xml:space="preserve"> </w:t>
      </w:r>
      <w:r>
        <w:rPr>
          <w:rFonts w:hint="default" w:ascii="Times New Roman" w:hAnsi="Times New Roman" w:cs="Times New Roman"/>
        </w:rPr>
        <w:t>UE experience is also improved</w:t>
      </w:r>
      <w:r>
        <w:rPr>
          <w:rFonts w:hint="eastAsia" w:ascii="Times New Roman" w:hAnsi="Times New Roman" w:cs="Times New Roman"/>
          <w:lang w:val="en-US" w:eastAsia="zh-CN"/>
        </w:rPr>
        <w:t xml:space="preserve"> </w:t>
      </w:r>
      <w:r>
        <w:rPr>
          <w:rFonts w:hint="default" w:ascii="Times New Roman" w:hAnsi="Times New Roman" w:cs="Times New Roman"/>
        </w:rPr>
        <w:t>by aggregating multiple carrier</w:t>
      </w:r>
      <w:r>
        <w:rPr>
          <w:rFonts w:hint="eastAsia" w:ascii="Times New Roman" w:hAnsi="Times New Roman" w:cs="Times New Roman"/>
          <w:lang w:val="en-US" w:eastAsia="zh-CN"/>
        </w:rPr>
        <w:t>s</w:t>
      </w:r>
      <w:r>
        <w:rPr>
          <w:rFonts w:hint="default" w:ascii="Times New Roman" w:hAnsi="Times New Roman" w:cs="Times New Roman"/>
        </w:rPr>
        <w:t xml:space="preserve">, a 6G UE can achieve much higher data rates (meeting the demands of advanced applications), and by anchoring control on a robust carrier, the connection reliability is maintained even when using very high-frequency bands for data. </w:t>
      </w:r>
      <w:r>
        <w:rPr>
          <w:rFonts w:hint="eastAsia" w:ascii="Times New Roman" w:hAnsi="Times New Roman" w:cs="Times New Roman"/>
          <w:lang w:val="en-US" w:eastAsia="zh-CN"/>
        </w:rPr>
        <w:t>Moreover</w:t>
      </w:r>
      <w:r>
        <w:rPr>
          <w:rFonts w:hint="default" w:ascii="Times New Roman" w:hAnsi="Times New Roman" w:cs="Times New Roman"/>
        </w:rPr>
        <w:t xml:space="preserve">, the UE does not need to monitor full control channels on every carrier, which optimizes battery consumption. </w:t>
      </w:r>
    </w:p>
    <w:p w14:paraId="37681C42">
      <w:pPr>
        <w:spacing w:before="120" w:beforeLines="50" w:after="120" w:afterLines="50" w:line="240" w:lineRule="auto"/>
        <w:rPr>
          <w:rFonts w:hint="default" w:ascii="Times New Roman" w:hAnsi="Times New Roman" w:cs="Times New Roman"/>
          <w:b/>
          <w:bCs/>
          <w:i/>
          <w:iCs/>
          <w:szCs w:val="21"/>
          <w:lang w:val="en-US" w:eastAsia="zh-CN"/>
        </w:rPr>
      </w:pPr>
      <w:r>
        <w:rPr>
          <w:rFonts w:hint="default" w:ascii="Times New Roman" w:hAnsi="Times New Roman" w:cs="Times New Roman"/>
        </w:rPr>
        <w:t>In summary, this framework meets 6G’s requirements by hierarchically organizing spectrum: it retains the coverage and simplicity of a single anchor carrier, while harnessing the capacity of numerous auxiliary carrier</w:t>
      </w:r>
      <w:r>
        <w:rPr>
          <w:rFonts w:hint="eastAsia" w:ascii="Times New Roman" w:hAnsi="Times New Roman" w:cs="Times New Roman"/>
          <w:lang w:val="en-US" w:eastAsia="zh-CN"/>
        </w:rPr>
        <w:t xml:space="preserve">s </w:t>
      </w:r>
      <w:r>
        <w:rPr>
          <w:rFonts w:hint="default" w:ascii="Times New Roman" w:hAnsi="Times New Roman" w:cs="Times New Roman"/>
        </w:rPr>
        <w:t>in a flexible, energy-efficient manner.</w:t>
      </w:r>
    </w:p>
    <w:p w14:paraId="6FADE47E">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Conclusion</w:t>
      </w:r>
    </w:p>
    <w:p w14:paraId="5DD7DAE2">
      <w:pPr>
        <w:spacing w:after="120" w:afterLines="50"/>
        <w:rPr>
          <w:rFonts w:hint="eastAsia" w:ascii="Times New Roman" w:hAnsi="Times New Roman" w:cs="Times New Roman"/>
          <w:szCs w:val="21"/>
        </w:rPr>
      </w:pPr>
      <w:r>
        <w:rPr>
          <w:rFonts w:hint="eastAsia" w:ascii="Times New Roman" w:hAnsi="Times New Roman" w:cs="Times New Roman"/>
          <w:szCs w:val="21"/>
        </w:rPr>
        <w:t xml:space="preserve">In this contribution, we discussed the </w:t>
      </w:r>
      <w:r>
        <w:rPr>
          <w:rFonts w:hint="eastAsia" w:ascii="Times New Roman" w:hAnsi="Times New Roman" w:cs="Times New Roman"/>
          <w:szCs w:val="21"/>
          <w:lang w:val="en-US" w:eastAsia="zh-CN"/>
        </w:rPr>
        <w:t>following aspect of spectrum aggregation for 6GR</w:t>
      </w:r>
      <w:r>
        <w:rPr>
          <w:rFonts w:hint="eastAsia" w:ascii="Times New Roman" w:hAnsi="Times New Roman" w:cs="Times New Roman"/>
        </w:rPr>
        <w:t xml:space="preserve"> </w:t>
      </w:r>
      <w:r>
        <w:rPr>
          <w:rFonts w:hint="eastAsia" w:ascii="Times New Roman" w:hAnsi="Times New Roman" w:cs="Times New Roman"/>
          <w:szCs w:val="21"/>
        </w:rPr>
        <w:t xml:space="preserve">and provided our proposals as follows: </w:t>
      </w:r>
    </w:p>
    <w:p w14:paraId="62A7D6D8">
      <w:pPr>
        <w:spacing w:before="120" w:beforeLines="50"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1: 5G carrier aggregation is constrained by significant control overhead (each cell must continuously broadcast signals) and by an inability to distribute idle UEs across multiple carriers, causing the primary cell to bear excessive load. These limitations present challenges for scaling to 6G.</w:t>
      </w:r>
    </w:p>
    <w:p w14:paraId="74EF1FB9">
      <w:pPr>
        <w:spacing w:before="120" w:beforeLines="50"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2: 6G requires a more flexible and efficient spectrum aggregation approach that supports on-demand use of many disparate bands with lean signaling overhead. The network should be able to combine spectrum dynamically and pair low-band coverage with high-band capacity to meet 6G performance demands.</w:t>
      </w:r>
    </w:p>
    <w:p w14:paraId="38324A5F">
      <w:pPr>
        <w:numPr>
          <w:ilvl w:val="0"/>
          <w:numId w:val="0"/>
        </w:numPr>
        <w:spacing w:before="120" w:beforeLines="50" w:after="120" w:afterLines="50" w:line="240" w:lineRule="auto"/>
        <w:ind w:leftChars="0"/>
        <w:rPr>
          <w:rFonts w:hint="default" w:ascii="Times New Roman" w:hAnsi="Times New Roman" w:cs="Times New Roman"/>
        </w:rPr>
      </w:pPr>
      <w:r>
        <w:rPr>
          <w:rFonts w:hint="default" w:ascii="Times New Roman" w:hAnsi="Times New Roman" w:cs="Times New Roman"/>
          <w:b/>
          <w:bCs/>
          <w:i/>
          <w:iCs/>
          <w:szCs w:val="21"/>
          <w:lang w:val="en-US" w:eastAsia="zh-CN"/>
        </w:rPr>
        <w:t xml:space="preserve">Proposal 1: To adopt a </w:t>
      </w:r>
      <w:r>
        <w:rPr>
          <w:rFonts w:hint="eastAsia" w:ascii="Times New Roman" w:hAnsi="Times New Roman" w:cs="Times New Roman"/>
          <w:b/>
          <w:bCs/>
          <w:i/>
          <w:iCs/>
          <w:szCs w:val="21"/>
          <w:lang w:val="en-US" w:eastAsia="zh-CN"/>
        </w:rPr>
        <w:t>Multiple Carrier Single Cell</w:t>
      </w:r>
      <w:r>
        <w:rPr>
          <w:rFonts w:hint="default" w:ascii="Times New Roman" w:hAnsi="Times New Roman" w:cs="Times New Roman"/>
          <w:b/>
          <w:bCs/>
          <w:i/>
          <w:iCs/>
          <w:szCs w:val="21"/>
          <w:lang w:val="en-US" w:eastAsia="zh-CN"/>
        </w:rPr>
        <w:t xml:space="preserve"> architecture</w:t>
      </w:r>
      <w:r>
        <w:rPr>
          <w:rFonts w:hint="eastAsia" w:ascii="Times New Roman" w:hAnsi="Times New Roman" w:cs="Times New Roman"/>
          <w:b/>
          <w:bCs/>
          <w:i/>
          <w:iCs/>
          <w:szCs w:val="21"/>
          <w:lang w:val="en-US" w:eastAsia="zh-CN"/>
        </w:rPr>
        <w:t xml:space="preserve"> for </w:t>
      </w:r>
      <w:r>
        <w:rPr>
          <w:rFonts w:hint="default" w:ascii="Times New Roman" w:hAnsi="Times New Roman" w:cs="Times New Roman"/>
          <w:b/>
          <w:bCs/>
          <w:i/>
          <w:iCs/>
          <w:szCs w:val="21"/>
          <w:lang w:val="en-US" w:eastAsia="zh-CN"/>
        </w:rPr>
        <w:t>spectrum aggregation in 6G R, wherein a primary “anchor” carrier provides coverage and carries essential signals, and one or more auxiliary carriers are dynamically activated for additional capacity.</w:t>
      </w:r>
    </w:p>
    <w:p w14:paraId="027EF9F9">
      <w:pPr>
        <w:spacing w:before="120" w:beforeLines="50" w:after="120" w:afterLines="50"/>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 xml:space="preserve">Proposal </w:t>
      </w:r>
      <w:r>
        <w:rPr>
          <w:rFonts w:hint="eastAsia" w:ascii="Times New Roman" w:hAnsi="Times New Roman" w:cs="Times New Roman"/>
          <w:b/>
          <w:bCs/>
          <w:i/>
          <w:iCs/>
          <w:szCs w:val="21"/>
          <w:lang w:val="en-US" w:eastAsia="zh-CN"/>
        </w:rPr>
        <w:t>2</w:t>
      </w:r>
      <w:r>
        <w:rPr>
          <w:rFonts w:hint="default" w:ascii="Times New Roman" w:hAnsi="Times New Roman" w:cs="Times New Roman"/>
          <w:b/>
          <w:bCs/>
          <w:i/>
          <w:iCs/>
          <w:szCs w:val="21"/>
          <w:lang w:val="en-US" w:eastAsia="zh-CN"/>
        </w:rPr>
        <w:t xml:space="preserve">: To configure one or several auxiliary carriers </w:t>
      </w:r>
      <w:r>
        <w:rPr>
          <w:rFonts w:hint="eastAsia" w:ascii="Times New Roman" w:hAnsi="Times New Roman" w:cs="Times New Roman"/>
          <w:b/>
          <w:bCs/>
          <w:i/>
          <w:iCs/>
          <w:szCs w:val="21"/>
          <w:lang w:val="en-US" w:eastAsia="zh-CN"/>
        </w:rPr>
        <w:t xml:space="preserve">earlier </w:t>
      </w:r>
      <w:r>
        <w:rPr>
          <w:rFonts w:hint="default" w:ascii="Times New Roman" w:hAnsi="Times New Roman" w:cs="Times New Roman"/>
          <w:b/>
          <w:bCs/>
          <w:i/>
          <w:iCs/>
          <w:szCs w:val="21"/>
          <w:lang w:val="en-US" w:eastAsia="zh-CN"/>
        </w:rPr>
        <w:t>for the spectrum aggregation</w:t>
      </w:r>
      <w:r>
        <w:rPr>
          <w:rFonts w:hint="eastAsia" w:ascii="Times New Roman" w:hAnsi="Times New Roman" w:cs="Times New Roman"/>
          <w:b/>
          <w:bCs/>
          <w:i/>
          <w:iCs/>
          <w:szCs w:val="21"/>
          <w:lang w:val="en-US" w:eastAsia="zh-CN"/>
        </w:rPr>
        <w:t xml:space="preserve"> in </w:t>
      </w:r>
      <w:r>
        <w:rPr>
          <w:rFonts w:hint="default" w:ascii="Times New Roman" w:hAnsi="Times New Roman" w:cs="Times New Roman"/>
          <w:b/>
          <w:bCs/>
          <w:i/>
          <w:iCs/>
          <w:szCs w:val="21"/>
          <w:lang w:val="en-US" w:eastAsia="zh-CN"/>
        </w:rPr>
        <w:t xml:space="preserve">a UE </w:t>
      </w:r>
      <w:r>
        <w:rPr>
          <w:rFonts w:hint="eastAsia" w:ascii="Times New Roman" w:hAnsi="Times New Roman" w:cs="Times New Roman"/>
          <w:b/>
          <w:bCs/>
          <w:i/>
          <w:iCs/>
          <w:szCs w:val="21"/>
          <w:lang w:val="en-US" w:eastAsia="zh-CN"/>
        </w:rPr>
        <w:t xml:space="preserve">to minimize the latency and signaling needed to utilize multiple </w:t>
      </w:r>
      <w:r>
        <w:rPr>
          <w:rFonts w:hint="default" w:ascii="Times New Roman" w:hAnsi="Times New Roman" w:cs="Times New Roman"/>
          <w:b/>
          <w:bCs/>
          <w:i/>
          <w:iCs/>
          <w:szCs w:val="21"/>
          <w:lang w:val="en-US" w:eastAsia="zh-CN"/>
        </w:rPr>
        <w:t>carriers</w:t>
      </w:r>
      <w:r>
        <w:rPr>
          <w:rFonts w:hint="eastAsia" w:ascii="Times New Roman" w:hAnsi="Times New Roman" w:cs="Times New Roman"/>
          <w:b/>
          <w:bCs/>
          <w:i/>
          <w:iCs/>
          <w:szCs w:val="21"/>
          <w:lang w:val="en-US" w:eastAsia="zh-CN"/>
        </w:rPr>
        <w:t>.</w:t>
      </w:r>
    </w:p>
    <w:p w14:paraId="60F412B2">
      <w:pPr>
        <w:spacing w:before="120" w:beforeLines="50" w:after="120" w:afterLines="50"/>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 xml:space="preserve">Proposal </w:t>
      </w:r>
      <w:r>
        <w:rPr>
          <w:rFonts w:hint="eastAsia" w:ascii="Times New Roman" w:hAnsi="Times New Roman" w:cs="Times New Roman"/>
          <w:b/>
          <w:bCs/>
          <w:i/>
          <w:iCs/>
          <w:szCs w:val="21"/>
          <w:lang w:val="en-US" w:eastAsia="zh-CN"/>
        </w:rPr>
        <w:t>3</w:t>
      </w:r>
      <w:r>
        <w:rPr>
          <w:rFonts w:hint="default" w:ascii="Times New Roman" w:hAnsi="Times New Roman" w:cs="Times New Roman"/>
          <w:b/>
          <w:bCs/>
          <w:i/>
          <w:iCs/>
          <w:szCs w:val="21"/>
          <w:lang w:val="en-US" w:eastAsia="zh-CN"/>
        </w:rPr>
        <w:t xml:space="preserve">: To </w:t>
      </w:r>
      <w:r>
        <w:rPr>
          <w:rFonts w:hint="eastAsia" w:ascii="Times New Roman" w:hAnsi="Times New Roman" w:cs="Times New Roman"/>
          <w:b/>
          <w:bCs/>
          <w:i/>
          <w:iCs/>
          <w:szCs w:val="21"/>
          <w:lang w:val="en-US" w:eastAsia="zh-CN"/>
        </w:rPr>
        <w:t>support</w:t>
      </w:r>
      <w:r>
        <w:rPr>
          <w:rFonts w:hint="default" w:ascii="Times New Roman" w:hAnsi="Times New Roman" w:cs="Times New Roman"/>
          <w:b/>
          <w:bCs/>
          <w:i/>
          <w:iCs/>
          <w:szCs w:val="21"/>
          <w:lang w:val="en-US" w:eastAsia="zh-CN"/>
        </w:rPr>
        <w:t xml:space="preserve"> On-demand carrier wake-up and activation</w:t>
      </w:r>
      <w:r>
        <w:rPr>
          <w:rFonts w:hint="eastAsia" w:ascii="Times New Roman" w:hAnsi="Times New Roman" w:cs="Times New Roman"/>
          <w:b/>
          <w:bCs/>
          <w:i/>
          <w:iCs/>
          <w:szCs w:val="21"/>
          <w:lang w:val="en-US" w:eastAsia="zh-CN"/>
        </w:rPr>
        <w:t xml:space="preserve"> mechanism </w:t>
      </w:r>
      <w:r>
        <w:rPr>
          <w:rFonts w:hint="default" w:ascii="Times New Roman" w:hAnsi="Times New Roman" w:cs="Times New Roman"/>
          <w:b/>
          <w:bCs/>
          <w:i/>
          <w:iCs/>
          <w:szCs w:val="21"/>
          <w:lang w:val="en-US" w:eastAsia="zh-CN"/>
        </w:rPr>
        <w:t>for the spectrum aggregation</w:t>
      </w:r>
      <w:r>
        <w:rPr>
          <w:rFonts w:hint="eastAsia" w:ascii="Times New Roman" w:hAnsi="Times New Roman" w:cs="Times New Roman"/>
          <w:b/>
          <w:bCs/>
          <w:i/>
          <w:iCs/>
          <w:szCs w:val="21"/>
          <w:lang w:val="en-US" w:eastAsia="zh-CN"/>
        </w:rPr>
        <w:t xml:space="preserve"> in MCSC to save energy for both UE and Network</w:t>
      </w:r>
      <w:r>
        <w:rPr>
          <w:rFonts w:hint="default" w:ascii="Times New Roman" w:hAnsi="Times New Roman" w:cs="Times New Roman"/>
          <w:b/>
          <w:bCs/>
          <w:i/>
          <w:iCs/>
          <w:szCs w:val="21"/>
          <w:lang w:val="en-US" w:eastAsia="zh-CN"/>
        </w:rPr>
        <w:t>.</w:t>
      </w:r>
    </w:p>
    <w:p w14:paraId="01C4562B">
      <w:pPr>
        <w:spacing w:before="120" w:beforeLines="50" w:after="120" w:afterLines="50"/>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 xml:space="preserve">Proposal </w:t>
      </w:r>
      <w:r>
        <w:rPr>
          <w:rFonts w:hint="eastAsia" w:ascii="Times New Roman" w:hAnsi="Times New Roman" w:cs="Times New Roman"/>
          <w:b/>
          <w:bCs/>
          <w:i/>
          <w:iCs/>
          <w:szCs w:val="21"/>
          <w:lang w:val="en-US" w:eastAsia="zh-CN"/>
        </w:rPr>
        <w:t>4</w:t>
      </w:r>
      <w:r>
        <w:rPr>
          <w:rFonts w:hint="default" w:ascii="Times New Roman" w:hAnsi="Times New Roman" w:cs="Times New Roman"/>
          <w:b/>
          <w:bCs/>
          <w:i/>
          <w:iCs/>
          <w:szCs w:val="21"/>
          <w:lang w:val="en-US" w:eastAsia="zh-CN"/>
        </w:rPr>
        <w:t xml:space="preserve">: </w:t>
      </w:r>
      <w:r>
        <w:rPr>
          <w:rFonts w:hint="eastAsia" w:ascii="Times New Roman" w:hAnsi="Times New Roman" w:cs="Times New Roman"/>
          <w:b/>
          <w:bCs/>
          <w:i/>
          <w:iCs/>
          <w:szCs w:val="21"/>
          <w:lang w:val="en-US" w:eastAsia="zh-CN"/>
        </w:rPr>
        <w:t xml:space="preserve">to distribute idle UEs across carriers in MCSC </w:t>
      </w:r>
      <w:r>
        <w:rPr>
          <w:rFonts w:hint="default" w:ascii="Times New Roman" w:hAnsi="Times New Roman" w:cs="Times New Roman"/>
          <w:b/>
          <w:bCs/>
          <w:i/>
          <w:iCs/>
          <w:szCs w:val="21"/>
          <w:lang w:val="en-US" w:eastAsia="zh-CN"/>
        </w:rPr>
        <w:t>in a controlled way</w:t>
      </w:r>
      <w:r>
        <w:rPr>
          <w:rFonts w:hint="eastAsia" w:ascii="Times New Roman" w:hAnsi="Times New Roman" w:cs="Times New Roman"/>
          <w:b/>
          <w:bCs/>
          <w:i/>
          <w:iCs/>
          <w:szCs w:val="21"/>
          <w:lang w:val="en-US" w:eastAsia="zh-CN"/>
        </w:rPr>
        <w:t xml:space="preserve"> to balance the paging and RACH load</w:t>
      </w:r>
      <w:r>
        <w:rPr>
          <w:rFonts w:hint="default" w:ascii="Times New Roman" w:hAnsi="Times New Roman" w:cs="Times New Roman"/>
          <w:b/>
          <w:bCs/>
          <w:i/>
          <w:iCs/>
          <w:szCs w:val="21"/>
          <w:lang w:val="en-US" w:eastAsia="zh-CN"/>
        </w:rPr>
        <w:t>.</w:t>
      </w:r>
    </w:p>
    <w:p w14:paraId="39E33C24">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References</w:t>
      </w:r>
    </w:p>
    <w:p w14:paraId="1EC8AE41">
      <w:pPr>
        <w:widowControl/>
        <w:numPr>
          <w:ilvl w:val="0"/>
          <w:numId w:val="7"/>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TR 22.870: "Study on 6G Use Cases and Service Requirements".</w:t>
      </w:r>
    </w:p>
    <w:p w14:paraId="13D1B70D">
      <w:pPr>
        <w:widowControl/>
        <w:numPr>
          <w:ilvl w:val="0"/>
          <w:numId w:val="7"/>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TR 38.914: "Study on 6G Scenarios and Requirements"</w:t>
      </w:r>
      <w:r>
        <w:rPr>
          <w:rFonts w:hint="eastAsia" w:ascii="Times New Roman" w:hAnsi="Times New Roman" w:cs="Times New Roman"/>
          <w:lang w:val="en-US" w:eastAsia="zh-CN"/>
        </w:rPr>
        <w:t>.</w:t>
      </w:r>
    </w:p>
    <w:p w14:paraId="419285C6">
      <w:pPr>
        <w:widowControl/>
        <w:numPr>
          <w:ilvl w:val="0"/>
          <w:numId w:val="7"/>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RP-252912: " Revised SID: Study on 6G Radio“NTT DOCOMO, CMCC, AT&amp;T, Vodafone Beijing, China, September 15-18, 2025</w:t>
      </w:r>
      <w:r>
        <w:rPr>
          <w:rFonts w:hint="eastAsia" w:ascii="Times New Roman" w:hAnsi="Times New Roman" w:cs="Times New Roman"/>
          <w:lang w:val="en-US" w:eastAsia="zh-CN"/>
        </w:rPr>
        <w:t>.</w:t>
      </w:r>
    </w:p>
    <w:sectPr>
      <w:pgSz w:w="11907" w:h="16840"/>
      <w:pgMar w:top="1417" w:right="1134" w:bottom="1417" w:left="1417"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7AE674"/>
    <w:multiLevelType w:val="singleLevel"/>
    <w:tmpl w:val="AE7AE674"/>
    <w:lvl w:ilvl="0" w:tentative="0">
      <w:start w:val="1"/>
      <w:numFmt w:val="bullet"/>
      <w:lvlText w:val=""/>
      <w:lvlJc w:val="left"/>
      <w:pPr>
        <w:ind w:left="420" w:hanging="420"/>
      </w:pPr>
      <w:rPr>
        <w:rFonts w:hint="default" w:ascii="Wingdings" w:hAnsi="Wingdings"/>
      </w:rPr>
    </w:lvl>
  </w:abstractNum>
  <w:abstractNum w:abstractNumId="1">
    <w:nsid w:val="B64FB349"/>
    <w:multiLevelType w:val="multilevel"/>
    <w:tmpl w:val="B64FB349"/>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2"/>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5B4C2EB8"/>
    <w:multiLevelType w:val="singleLevel"/>
    <w:tmpl w:val="5B4C2EB8"/>
    <w:lvl w:ilvl="0" w:tentative="0">
      <w:start w:val="1"/>
      <w:numFmt w:val="bullet"/>
      <w:lvlText w:val=""/>
      <w:lvlJc w:val="left"/>
      <w:pPr>
        <w:ind w:left="420" w:hanging="420"/>
      </w:pPr>
      <w:rPr>
        <w:rFonts w:hint="default" w:ascii="Wingdings" w:hAnsi="Wingdings"/>
      </w:rPr>
    </w:lvl>
  </w:abstractNum>
  <w:abstractNum w:abstractNumId="5">
    <w:nsid w:val="70146DC0"/>
    <w:multiLevelType w:val="multilevel"/>
    <w:tmpl w:val="70146DC0"/>
    <w:lvl w:ilvl="0" w:tentative="0">
      <w:start w:val="1"/>
      <w:numFmt w:val="bullet"/>
      <w:pStyle w:val="58"/>
      <w:lvlText w:val=""/>
      <w:lvlJc w:val="left"/>
      <w:pPr>
        <w:tabs>
          <w:tab w:val="left" w:pos="2039"/>
        </w:tabs>
        <w:ind w:left="2039" w:hanging="360"/>
      </w:pPr>
      <w:rPr>
        <w:rFonts w:hint="default" w:ascii="Symbol" w:hAnsi="Symbol"/>
        <w:b/>
        <w:i w:val="0"/>
        <w:color w:val="auto"/>
        <w:sz w:val="22"/>
      </w:rPr>
    </w:lvl>
    <w:lvl w:ilvl="1" w:tentative="0">
      <w:start w:val="1"/>
      <w:numFmt w:val="bullet"/>
      <w:lvlText w:val="o"/>
      <w:lvlJc w:val="left"/>
      <w:pPr>
        <w:tabs>
          <w:tab w:val="left" w:pos="1860"/>
        </w:tabs>
        <w:ind w:left="1860" w:hanging="360"/>
      </w:pPr>
      <w:rPr>
        <w:rFonts w:hint="default" w:ascii="Courier New" w:hAnsi="Courier New" w:cs="Courier New"/>
      </w:rPr>
    </w:lvl>
    <w:lvl w:ilvl="2" w:tentative="0">
      <w:start w:val="1"/>
      <w:numFmt w:val="bullet"/>
      <w:lvlText w:val=""/>
      <w:lvlJc w:val="left"/>
      <w:pPr>
        <w:tabs>
          <w:tab w:val="left" w:pos="2580"/>
        </w:tabs>
        <w:ind w:left="2580" w:hanging="360"/>
      </w:pPr>
      <w:rPr>
        <w:rFonts w:hint="default" w:ascii="Wingdings" w:hAnsi="Wingdings"/>
      </w:rPr>
    </w:lvl>
    <w:lvl w:ilvl="3" w:tentative="0">
      <w:start w:val="1"/>
      <w:numFmt w:val="bullet"/>
      <w:lvlText w:val=""/>
      <w:lvlJc w:val="left"/>
      <w:pPr>
        <w:tabs>
          <w:tab w:val="left" w:pos="3300"/>
        </w:tabs>
        <w:ind w:left="3300" w:hanging="360"/>
      </w:pPr>
      <w:rPr>
        <w:rFonts w:hint="default" w:ascii="Symbol" w:hAnsi="Symbol"/>
      </w:rPr>
    </w:lvl>
    <w:lvl w:ilvl="4" w:tentative="0">
      <w:start w:val="1"/>
      <w:numFmt w:val="bullet"/>
      <w:lvlText w:val="o"/>
      <w:lvlJc w:val="left"/>
      <w:pPr>
        <w:tabs>
          <w:tab w:val="left" w:pos="4020"/>
        </w:tabs>
        <w:ind w:left="4020" w:hanging="360"/>
      </w:pPr>
      <w:rPr>
        <w:rFonts w:hint="default" w:ascii="Courier New" w:hAnsi="Courier New" w:cs="Courier New"/>
      </w:rPr>
    </w:lvl>
    <w:lvl w:ilvl="5" w:tentative="0">
      <w:start w:val="1"/>
      <w:numFmt w:val="bullet"/>
      <w:lvlText w:val=""/>
      <w:lvlJc w:val="left"/>
      <w:pPr>
        <w:tabs>
          <w:tab w:val="left" w:pos="4740"/>
        </w:tabs>
        <w:ind w:left="4740" w:hanging="360"/>
      </w:pPr>
      <w:rPr>
        <w:rFonts w:hint="default" w:ascii="Wingdings" w:hAnsi="Wingdings"/>
      </w:rPr>
    </w:lvl>
    <w:lvl w:ilvl="6" w:tentative="0">
      <w:start w:val="1"/>
      <w:numFmt w:val="bullet"/>
      <w:lvlText w:val=""/>
      <w:lvlJc w:val="left"/>
      <w:pPr>
        <w:tabs>
          <w:tab w:val="left" w:pos="5460"/>
        </w:tabs>
        <w:ind w:left="5460" w:hanging="360"/>
      </w:pPr>
      <w:rPr>
        <w:rFonts w:hint="default" w:ascii="Symbol" w:hAnsi="Symbol"/>
      </w:rPr>
    </w:lvl>
    <w:lvl w:ilvl="7" w:tentative="0">
      <w:start w:val="1"/>
      <w:numFmt w:val="bullet"/>
      <w:lvlText w:val="o"/>
      <w:lvlJc w:val="left"/>
      <w:pPr>
        <w:tabs>
          <w:tab w:val="left" w:pos="6180"/>
        </w:tabs>
        <w:ind w:left="6180" w:hanging="360"/>
      </w:pPr>
      <w:rPr>
        <w:rFonts w:hint="default" w:ascii="Courier New" w:hAnsi="Courier New" w:cs="Courier New"/>
      </w:rPr>
    </w:lvl>
    <w:lvl w:ilvl="8" w:tentative="0">
      <w:start w:val="1"/>
      <w:numFmt w:val="bullet"/>
      <w:lvlText w:val=""/>
      <w:lvlJc w:val="left"/>
      <w:pPr>
        <w:tabs>
          <w:tab w:val="left" w:pos="6900"/>
        </w:tabs>
        <w:ind w:left="6900" w:hanging="360"/>
      </w:pPr>
      <w:rPr>
        <w:rFonts w:hint="default" w:ascii="Wingdings" w:hAnsi="Wingdings"/>
      </w:rPr>
    </w:lvl>
  </w:abstractNum>
  <w:abstractNum w:abstractNumId="6">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1"/>
  </w:num>
  <w:num w:numId="2">
    <w:abstractNumId w:val="5"/>
  </w:num>
  <w:num w:numId="3">
    <w:abstractNumId w:val="3"/>
  </w:num>
  <w:num w:numId="4">
    <w:abstractNumId w:val="6"/>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3145D"/>
    <w:rsid w:val="00455276"/>
    <w:rsid w:val="00526E9D"/>
    <w:rsid w:val="0056591F"/>
    <w:rsid w:val="005C34E1"/>
    <w:rsid w:val="00645991"/>
    <w:rsid w:val="00680B0A"/>
    <w:rsid w:val="007109E6"/>
    <w:rsid w:val="00747CF4"/>
    <w:rsid w:val="007E2DA4"/>
    <w:rsid w:val="00801DCF"/>
    <w:rsid w:val="00867DE5"/>
    <w:rsid w:val="00872B5B"/>
    <w:rsid w:val="008B1CC1"/>
    <w:rsid w:val="00A3450B"/>
    <w:rsid w:val="00AD5960"/>
    <w:rsid w:val="00B36A82"/>
    <w:rsid w:val="00B85346"/>
    <w:rsid w:val="00BC6118"/>
    <w:rsid w:val="00BE19BF"/>
    <w:rsid w:val="00CB77BE"/>
    <w:rsid w:val="00D02949"/>
    <w:rsid w:val="00D23614"/>
    <w:rsid w:val="00DE1EC0"/>
    <w:rsid w:val="00DF649C"/>
    <w:rsid w:val="00F929A3"/>
    <w:rsid w:val="00FC66A5"/>
    <w:rsid w:val="010E1D4D"/>
    <w:rsid w:val="01330893"/>
    <w:rsid w:val="01B12E58"/>
    <w:rsid w:val="01C371DA"/>
    <w:rsid w:val="020411DA"/>
    <w:rsid w:val="022C260F"/>
    <w:rsid w:val="0231591F"/>
    <w:rsid w:val="031B28AD"/>
    <w:rsid w:val="034877EC"/>
    <w:rsid w:val="034E4A60"/>
    <w:rsid w:val="03DD6AF5"/>
    <w:rsid w:val="047162D4"/>
    <w:rsid w:val="049F168E"/>
    <w:rsid w:val="04BD145A"/>
    <w:rsid w:val="04E00808"/>
    <w:rsid w:val="055E50A5"/>
    <w:rsid w:val="0568310D"/>
    <w:rsid w:val="05720F2C"/>
    <w:rsid w:val="05756793"/>
    <w:rsid w:val="058E3614"/>
    <w:rsid w:val="05A47ACE"/>
    <w:rsid w:val="05B2754B"/>
    <w:rsid w:val="05BB24F7"/>
    <w:rsid w:val="05C04E1F"/>
    <w:rsid w:val="05D76C05"/>
    <w:rsid w:val="06897EFF"/>
    <w:rsid w:val="071D591B"/>
    <w:rsid w:val="072D40F1"/>
    <w:rsid w:val="074D2750"/>
    <w:rsid w:val="07522471"/>
    <w:rsid w:val="07FE2B1F"/>
    <w:rsid w:val="08B2294B"/>
    <w:rsid w:val="08FC1348"/>
    <w:rsid w:val="092A7ACA"/>
    <w:rsid w:val="09452F63"/>
    <w:rsid w:val="09680EB8"/>
    <w:rsid w:val="09ED2CA5"/>
    <w:rsid w:val="0A067E6E"/>
    <w:rsid w:val="0A481A1C"/>
    <w:rsid w:val="0AC7123A"/>
    <w:rsid w:val="0AE314B1"/>
    <w:rsid w:val="0AEC2FE8"/>
    <w:rsid w:val="0B260413"/>
    <w:rsid w:val="0B9C06D5"/>
    <w:rsid w:val="0BAD139F"/>
    <w:rsid w:val="0BB62E8D"/>
    <w:rsid w:val="0C110567"/>
    <w:rsid w:val="0C397531"/>
    <w:rsid w:val="0C470E4F"/>
    <w:rsid w:val="0C812E6D"/>
    <w:rsid w:val="0C9E047D"/>
    <w:rsid w:val="0D733868"/>
    <w:rsid w:val="0D9546F5"/>
    <w:rsid w:val="0DC46BFB"/>
    <w:rsid w:val="0DD51C7C"/>
    <w:rsid w:val="0DD65942"/>
    <w:rsid w:val="0DEA753C"/>
    <w:rsid w:val="0DF06AB6"/>
    <w:rsid w:val="0DF57134"/>
    <w:rsid w:val="0E4A6F14"/>
    <w:rsid w:val="0E540AE8"/>
    <w:rsid w:val="0E762255"/>
    <w:rsid w:val="0ED3362B"/>
    <w:rsid w:val="0EF50B08"/>
    <w:rsid w:val="0F491DCF"/>
    <w:rsid w:val="0F672DA8"/>
    <w:rsid w:val="0F6D5043"/>
    <w:rsid w:val="0F723A91"/>
    <w:rsid w:val="0F8B4E78"/>
    <w:rsid w:val="10924438"/>
    <w:rsid w:val="10E32902"/>
    <w:rsid w:val="1109680C"/>
    <w:rsid w:val="116F4196"/>
    <w:rsid w:val="118934A9"/>
    <w:rsid w:val="11DF6823"/>
    <w:rsid w:val="11FC4B10"/>
    <w:rsid w:val="121758CF"/>
    <w:rsid w:val="1282108C"/>
    <w:rsid w:val="12D167AA"/>
    <w:rsid w:val="130D0D24"/>
    <w:rsid w:val="13326CC5"/>
    <w:rsid w:val="13826402"/>
    <w:rsid w:val="1384217A"/>
    <w:rsid w:val="13A42136"/>
    <w:rsid w:val="14232166"/>
    <w:rsid w:val="14C710A8"/>
    <w:rsid w:val="14CD7B51"/>
    <w:rsid w:val="150B58AE"/>
    <w:rsid w:val="151A266A"/>
    <w:rsid w:val="15CB5DD3"/>
    <w:rsid w:val="160067D9"/>
    <w:rsid w:val="160846A5"/>
    <w:rsid w:val="16161084"/>
    <w:rsid w:val="161A4308"/>
    <w:rsid w:val="163254BE"/>
    <w:rsid w:val="165F5FD9"/>
    <w:rsid w:val="16D13B64"/>
    <w:rsid w:val="16E04FC6"/>
    <w:rsid w:val="1725740C"/>
    <w:rsid w:val="17470EF1"/>
    <w:rsid w:val="1776514E"/>
    <w:rsid w:val="17932E8D"/>
    <w:rsid w:val="17CB192C"/>
    <w:rsid w:val="17FC2567"/>
    <w:rsid w:val="18356139"/>
    <w:rsid w:val="188B110E"/>
    <w:rsid w:val="18910936"/>
    <w:rsid w:val="18B03A11"/>
    <w:rsid w:val="18C221F9"/>
    <w:rsid w:val="18CD08A1"/>
    <w:rsid w:val="19014CAF"/>
    <w:rsid w:val="193D7353"/>
    <w:rsid w:val="197462BA"/>
    <w:rsid w:val="199F6F5F"/>
    <w:rsid w:val="19AE61A3"/>
    <w:rsid w:val="1A28231A"/>
    <w:rsid w:val="1A4E237A"/>
    <w:rsid w:val="1B267FBB"/>
    <w:rsid w:val="1B692801"/>
    <w:rsid w:val="1BBF1850"/>
    <w:rsid w:val="1C047A3E"/>
    <w:rsid w:val="1C1804EA"/>
    <w:rsid w:val="1C2300FB"/>
    <w:rsid w:val="1C9A2F02"/>
    <w:rsid w:val="1CDB4C0A"/>
    <w:rsid w:val="1CE43C8A"/>
    <w:rsid w:val="1D745AA6"/>
    <w:rsid w:val="1E1A2095"/>
    <w:rsid w:val="1E2E78B2"/>
    <w:rsid w:val="1E3A680D"/>
    <w:rsid w:val="1E48054C"/>
    <w:rsid w:val="1E4C42FA"/>
    <w:rsid w:val="1E5A11E8"/>
    <w:rsid w:val="1EAC1325"/>
    <w:rsid w:val="1EE00915"/>
    <w:rsid w:val="1F4F5F36"/>
    <w:rsid w:val="1F606D74"/>
    <w:rsid w:val="1F833B28"/>
    <w:rsid w:val="20085EE1"/>
    <w:rsid w:val="205F59D0"/>
    <w:rsid w:val="20931D81"/>
    <w:rsid w:val="20CE6D52"/>
    <w:rsid w:val="20E24984"/>
    <w:rsid w:val="20EF2BFD"/>
    <w:rsid w:val="219805DB"/>
    <w:rsid w:val="21AE2EDA"/>
    <w:rsid w:val="224551CB"/>
    <w:rsid w:val="229C5AE9"/>
    <w:rsid w:val="22FF7A6F"/>
    <w:rsid w:val="233203DD"/>
    <w:rsid w:val="2342170A"/>
    <w:rsid w:val="234D23FA"/>
    <w:rsid w:val="246622C5"/>
    <w:rsid w:val="25B957D2"/>
    <w:rsid w:val="25D60CFE"/>
    <w:rsid w:val="260F1B38"/>
    <w:rsid w:val="261B4D32"/>
    <w:rsid w:val="2661459D"/>
    <w:rsid w:val="26777D2F"/>
    <w:rsid w:val="26A87F18"/>
    <w:rsid w:val="26FF2956"/>
    <w:rsid w:val="271E1505"/>
    <w:rsid w:val="273F3B6A"/>
    <w:rsid w:val="274E0EEF"/>
    <w:rsid w:val="279369D8"/>
    <w:rsid w:val="27D642D6"/>
    <w:rsid w:val="27FC2BB9"/>
    <w:rsid w:val="280D6C9B"/>
    <w:rsid w:val="291805BC"/>
    <w:rsid w:val="292D759C"/>
    <w:rsid w:val="2944442E"/>
    <w:rsid w:val="297974EE"/>
    <w:rsid w:val="29B34A3B"/>
    <w:rsid w:val="29F01BD1"/>
    <w:rsid w:val="2A590434"/>
    <w:rsid w:val="2A8645D2"/>
    <w:rsid w:val="2AF479DB"/>
    <w:rsid w:val="2B017AE4"/>
    <w:rsid w:val="2B1C0A93"/>
    <w:rsid w:val="2B1E480B"/>
    <w:rsid w:val="2B4C75CA"/>
    <w:rsid w:val="2B5B780D"/>
    <w:rsid w:val="2BD42BB5"/>
    <w:rsid w:val="2BE37795"/>
    <w:rsid w:val="2C7F5656"/>
    <w:rsid w:val="2CBF3DCB"/>
    <w:rsid w:val="2D0871C8"/>
    <w:rsid w:val="2D804734"/>
    <w:rsid w:val="2DC55411"/>
    <w:rsid w:val="2F885129"/>
    <w:rsid w:val="2FA71273"/>
    <w:rsid w:val="2FC46822"/>
    <w:rsid w:val="2FCD67FF"/>
    <w:rsid w:val="301604B8"/>
    <w:rsid w:val="303B772F"/>
    <w:rsid w:val="31696757"/>
    <w:rsid w:val="31DE1D58"/>
    <w:rsid w:val="321F68F6"/>
    <w:rsid w:val="32741B27"/>
    <w:rsid w:val="32A824A4"/>
    <w:rsid w:val="32B819E9"/>
    <w:rsid w:val="32F103D0"/>
    <w:rsid w:val="331210F9"/>
    <w:rsid w:val="33185FE3"/>
    <w:rsid w:val="331B468F"/>
    <w:rsid w:val="334F5FA3"/>
    <w:rsid w:val="335229B5"/>
    <w:rsid w:val="338D6342"/>
    <w:rsid w:val="33B8055B"/>
    <w:rsid w:val="340824FC"/>
    <w:rsid w:val="34214AFA"/>
    <w:rsid w:val="34F46CC2"/>
    <w:rsid w:val="34F9242A"/>
    <w:rsid w:val="353A3B9A"/>
    <w:rsid w:val="353D648E"/>
    <w:rsid w:val="35584DBD"/>
    <w:rsid w:val="35834C4F"/>
    <w:rsid w:val="35B5220F"/>
    <w:rsid w:val="35F033B2"/>
    <w:rsid w:val="36556989"/>
    <w:rsid w:val="365F25F1"/>
    <w:rsid w:val="36633A19"/>
    <w:rsid w:val="367B459C"/>
    <w:rsid w:val="36B02E3E"/>
    <w:rsid w:val="36DE12F2"/>
    <w:rsid w:val="37871C5F"/>
    <w:rsid w:val="37D83D53"/>
    <w:rsid w:val="37DA7D0B"/>
    <w:rsid w:val="37DF5322"/>
    <w:rsid w:val="38C14F85"/>
    <w:rsid w:val="38D95C84"/>
    <w:rsid w:val="395152B1"/>
    <w:rsid w:val="396B17C1"/>
    <w:rsid w:val="39C7397A"/>
    <w:rsid w:val="39C922D2"/>
    <w:rsid w:val="3A0E3D7F"/>
    <w:rsid w:val="3A1B148B"/>
    <w:rsid w:val="3AC96BFA"/>
    <w:rsid w:val="3B0B0E31"/>
    <w:rsid w:val="3B90705F"/>
    <w:rsid w:val="3BA42B0A"/>
    <w:rsid w:val="3C5E1386"/>
    <w:rsid w:val="3C6A376B"/>
    <w:rsid w:val="3C9C7C85"/>
    <w:rsid w:val="3CAD3871"/>
    <w:rsid w:val="3D0E6612"/>
    <w:rsid w:val="3D794C69"/>
    <w:rsid w:val="3E247F32"/>
    <w:rsid w:val="3E4459B8"/>
    <w:rsid w:val="3E9926CE"/>
    <w:rsid w:val="3EED0255"/>
    <w:rsid w:val="3F010273"/>
    <w:rsid w:val="3F177A97"/>
    <w:rsid w:val="3F2B6D25"/>
    <w:rsid w:val="3F6658E6"/>
    <w:rsid w:val="3F695BF8"/>
    <w:rsid w:val="3F6F6A24"/>
    <w:rsid w:val="3FD80FD4"/>
    <w:rsid w:val="3FF50ECF"/>
    <w:rsid w:val="40E57C57"/>
    <w:rsid w:val="40FE523C"/>
    <w:rsid w:val="410C5707"/>
    <w:rsid w:val="41C932CA"/>
    <w:rsid w:val="42365619"/>
    <w:rsid w:val="42A539CE"/>
    <w:rsid w:val="42CC4813"/>
    <w:rsid w:val="434D4C01"/>
    <w:rsid w:val="435C04A2"/>
    <w:rsid w:val="43E11412"/>
    <w:rsid w:val="43FC748C"/>
    <w:rsid w:val="440525B4"/>
    <w:rsid w:val="44093E52"/>
    <w:rsid w:val="446F1C68"/>
    <w:rsid w:val="45264590"/>
    <w:rsid w:val="45961716"/>
    <w:rsid w:val="45A35BE1"/>
    <w:rsid w:val="460F14C8"/>
    <w:rsid w:val="46602F82"/>
    <w:rsid w:val="46C61D41"/>
    <w:rsid w:val="47150D60"/>
    <w:rsid w:val="471748B1"/>
    <w:rsid w:val="477E6B3A"/>
    <w:rsid w:val="47943CC6"/>
    <w:rsid w:val="47B42CE1"/>
    <w:rsid w:val="48053ACE"/>
    <w:rsid w:val="480A1F47"/>
    <w:rsid w:val="48147269"/>
    <w:rsid w:val="483D1D78"/>
    <w:rsid w:val="48517B76"/>
    <w:rsid w:val="487E765D"/>
    <w:rsid w:val="492522E2"/>
    <w:rsid w:val="49380D36"/>
    <w:rsid w:val="49600D82"/>
    <w:rsid w:val="49CE695A"/>
    <w:rsid w:val="4AE66BEE"/>
    <w:rsid w:val="4AF131EF"/>
    <w:rsid w:val="4AF40C8C"/>
    <w:rsid w:val="4B407715"/>
    <w:rsid w:val="4BA83F51"/>
    <w:rsid w:val="4BBB7216"/>
    <w:rsid w:val="4C0A69B9"/>
    <w:rsid w:val="4C6A7458"/>
    <w:rsid w:val="4C813C70"/>
    <w:rsid w:val="4C84212F"/>
    <w:rsid w:val="4CA236C3"/>
    <w:rsid w:val="4D096C71"/>
    <w:rsid w:val="4D950505"/>
    <w:rsid w:val="4DA154D9"/>
    <w:rsid w:val="4DAB7D28"/>
    <w:rsid w:val="4E0D325F"/>
    <w:rsid w:val="4E12758F"/>
    <w:rsid w:val="4E214286"/>
    <w:rsid w:val="4E33426F"/>
    <w:rsid w:val="4E4A5793"/>
    <w:rsid w:val="4E8862BB"/>
    <w:rsid w:val="4F0155EE"/>
    <w:rsid w:val="4F452E71"/>
    <w:rsid w:val="4F5947DB"/>
    <w:rsid w:val="4F6A7329"/>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5604E0"/>
    <w:rsid w:val="517448D5"/>
    <w:rsid w:val="518C7E71"/>
    <w:rsid w:val="519915B2"/>
    <w:rsid w:val="519A2708"/>
    <w:rsid w:val="51F103B2"/>
    <w:rsid w:val="520C50B4"/>
    <w:rsid w:val="521F0CE5"/>
    <w:rsid w:val="53185506"/>
    <w:rsid w:val="5371612B"/>
    <w:rsid w:val="53B51932"/>
    <w:rsid w:val="54A24E32"/>
    <w:rsid w:val="55807CEC"/>
    <w:rsid w:val="55F650BF"/>
    <w:rsid w:val="561B7217"/>
    <w:rsid w:val="56FD00CF"/>
    <w:rsid w:val="57027519"/>
    <w:rsid w:val="572629E8"/>
    <w:rsid w:val="575C092A"/>
    <w:rsid w:val="577E7095"/>
    <w:rsid w:val="578C2978"/>
    <w:rsid w:val="57A646D9"/>
    <w:rsid w:val="57DD1426"/>
    <w:rsid w:val="57EA584B"/>
    <w:rsid w:val="583F5B16"/>
    <w:rsid w:val="5877685D"/>
    <w:rsid w:val="589A1FD6"/>
    <w:rsid w:val="59394663"/>
    <w:rsid w:val="59975605"/>
    <w:rsid w:val="59AA78C5"/>
    <w:rsid w:val="59C3464B"/>
    <w:rsid w:val="59FD045D"/>
    <w:rsid w:val="5A177BA2"/>
    <w:rsid w:val="5A1F15C9"/>
    <w:rsid w:val="5A6F20DD"/>
    <w:rsid w:val="5ABF776A"/>
    <w:rsid w:val="5AF34ABD"/>
    <w:rsid w:val="5B1C5C72"/>
    <w:rsid w:val="5B404577"/>
    <w:rsid w:val="5B6A1223"/>
    <w:rsid w:val="5B73375B"/>
    <w:rsid w:val="5BDE576D"/>
    <w:rsid w:val="5C1E4010"/>
    <w:rsid w:val="5C844822"/>
    <w:rsid w:val="5CBB16CF"/>
    <w:rsid w:val="5CBC3D00"/>
    <w:rsid w:val="5CC46711"/>
    <w:rsid w:val="5D0A091D"/>
    <w:rsid w:val="5D105DFA"/>
    <w:rsid w:val="5D4930BA"/>
    <w:rsid w:val="5D770C37"/>
    <w:rsid w:val="5DF57F28"/>
    <w:rsid w:val="5DFB1C8A"/>
    <w:rsid w:val="5E24773B"/>
    <w:rsid w:val="5E3B3C08"/>
    <w:rsid w:val="5E800D5D"/>
    <w:rsid w:val="5EEA61D6"/>
    <w:rsid w:val="5EEC63F2"/>
    <w:rsid w:val="5EF01530"/>
    <w:rsid w:val="5F1576F7"/>
    <w:rsid w:val="5FA041B9"/>
    <w:rsid w:val="5FBE4D46"/>
    <w:rsid w:val="60997EB4"/>
    <w:rsid w:val="611963CD"/>
    <w:rsid w:val="616E573B"/>
    <w:rsid w:val="617C1A7E"/>
    <w:rsid w:val="61C80A51"/>
    <w:rsid w:val="62B92A90"/>
    <w:rsid w:val="62E34874"/>
    <w:rsid w:val="62E8147A"/>
    <w:rsid w:val="630B132E"/>
    <w:rsid w:val="634A321E"/>
    <w:rsid w:val="639062F6"/>
    <w:rsid w:val="63C06196"/>
    <w:rsid w:val="63DD0CDE"/>
    <w:rsid w:val="64147AC3"/>
    <w:rsid w:val="64201F2E"/>
    <w:rsid w:val="64312291"/>
    <w:rsid w:val="64322AF9"/>
    <w:rsid w:val="647B323D"/>
    <w:rsid w:val="649C3D0A"/>
    <w:rsid w:val="653B5642"/>
    <w:rsid w:val="654C28BC"/>
    <w:rsid w:val="65A840EC"/>
    <w:rsid w:val="65B92402"/>
    <w:rsid w:val="65C06F7D"/>
    <w:rsid w:val="65F358C4"/>
    <w:rsid w:val="66884C53"/>
    <w:rsid w:val="66E77BCB"/>
    <w:rsid w:val="67645183"/>
    <w:rsid w:val="679C60E3"/>
    <w:rsid w:val="683A590B"/>
    <w:rsid w:val="683A5F02"/>
    <w:rsid w:val="6845574B"/>
    <w:rsid w:val="685376AF"/>
    <w:rsid w:val="68F57755"/>
    <w:rsid w:val="6908408A"/>
    <w:rsid w:val="695F47F3"/>
    <w:rsid w:val="696A6892"/>
    <w:rsid w:val="69CA7330"/>
    <w:rsid w:val="69F148BD"/>
    <w:rsid w:val="6A3B5FBD"/>
    <w:rsid w:val="6A3D7B02"/>
    <w:rsid w:val="6A497336"/>
    <w:rsid w:val="6B3C6A30"/>
    <w:rsid w:val="6B8F25DF"/>
    <w:rsid w:val="6C7D4B2E"/>
    <w:rsid w:val="6CB06CB1"/>
    <w:rsid w:val="6CEB5ACA"/>
    <w:rsid w:val="6DBB3B60"/>
    <w:rsid w:val="6E6C7C05"/>
    <w:rsid w:val="6EFE1F56"/>
    <w:rsid w:val="6F130492"/>
    <w:rsid w:val="6F2B2544"/>
    <w:rsid w:val="6F4060E9"/>
    <w:rsid w:val="706B5A59"/>
    <w:rsid w:val="707B0060"/>
    <w:rsid w:val="70A04FBC"/>
    <w:rsid w:val="70BD3D49"/>
    <w:rsid w:val="710B095A"/>
    <w:rsid w:val="71D90A58"/>
    <w:rsid w:val="72041505"/>
    <w:rsid w:val="72317325"/>
    <w:rsid w:val="726E73F3"/>
    <w:rsid w:val="72872262"/>
    <w:rsid w:val="72A863A1"/>
    <w:rsid w:val="73403ED7"/>
    <w:rsid w:val="740946D6"/>
    <w:rsid w:val="740B2A1F"/>
    <w:rsid w:val="740D49E9"/>
    <w:rsid w:val="74566E86"/>
    <w:rsid w:val="745A5137"/>
    <w:rsid w:val="754B7177"/>
    <w:rsid w:val="75631CAE"/>
    <w:rsid w:val="75E11C8A"/>
    <w:rsid w:val="76462308"/>
    <w:rsid w:val="772665FC"/>
    <w:rsid w:val="772B48E7"/>
    <w:rsid w:val="775F740B"/>
    <w:rsid w:val="77CD6E56"/>
    <w:rsid w:val="785C7CED"/>
    <w:rsid w:val="78610694"/>
    <w:rsid w:val="78660EF1"/>
    <w:rsid w:val="788A13BF"/>
    <w:rsid w:val="78A377B2"/>
    <w:rsid w:val="78D93F27"/>
    <w:rsid w:val="793A002E"/>
    <w:rsid w:val="79404F19"/>
    <w:rsid w:val="797C2D3C"/>
    <w:rsid w:val="79C35626"/>
    <w:rsid w:val="79E42D9A"/>
    <w:rsid w:val="7A314C2F"/>
    <w:rsid w:val="7A3727C0"/>
    <w:rsid w:val="7AAD7251"/>
    <w:rsid w:val="7ABC00E2"/>
    <w:rsid w:val="7B0074FE"/>
    <w:rsid w:val="7B061127"/>
    <w:rsid w:val="7B503B8C"/>
    <w:rsid w:val="7B727157"/>
    <w:rsid w:val="7B8437E3"/>
    <w:rsid w:val="7BD64713"/>
    <w:rsid w:val="7BD80171"/>
    <w:rsid w:val="7BDB223D"/>
    <w:rsid w:val="7BED2287"/>
    <w:rsid w:val="7C081A90"/>
    <w:rsid w:val="7C0B3F04"/>
    <w:rsid w:val="7C2571BC"/>
    <w:rsid w:val="7C9E5DD3"/>
    <w:rsid w:val="7CA15039"/>
    <w:rsid w:val="7CC52305"/>
    <w:rsid w:val="7CD54AA1"/>
    <w:rsid w:val="7D240BEB"/>
    <w:rsid w:val="7D8D41BC"/>
    <w:rsid w:val="7E5E656D"/>
    <w:rsid w:val="7E6E42D6"/>
    <w:rsid w:val="7E894D3F"/>
    <w:rsid w:val="7EA146AC"/>
    <w:rsid w:val="7F563156"/>
    <w:rsid w:val="7F912972"/>
    <w:rsid w:val="7FB77AFD"/>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3"/>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34"/>
    <w:autoRedefine/>
    <w:unhideWhenUsed/>
    <w:qFormat/>
    <w:uiPriority w:val="9"/>
    <w:pPr>
      <w:numPr>
        <w:ilvl w:val="2"/>
      </w:numPr>
      <w:outlineLvl w:val="2"/>
    </w:pPr>
    <w:rPr>
      <w:sz w:val="32"/>
    </w:rPr>
  </w:style>
  <w:style w:type="paragraph" w:styleId="5">
    <w:name w:val="heading 4"/>
    <w:basedOn w:val="4"/>
    <w:next w:val="1"/>
    <w:link w:val="39"/>
    <w:autoRedefine/>
    <w:qFormat/>
    <w:uiPriority w:val="0"/>
    <w:pPr>
      <w:numPr>
        <w:ilvl w:val="3"/>
      </w:numPr>
      <w:spacing w:before="240" w:after="60"/>
      <w:jc w:val="left"/>
      <w:outlineLvl w:val="3"/>
    </w:pPr>
    <w:rPr>
      <w:rFonts w:ascii="Times New Roman" w:hAnsi="Times New Roman" w:eastAsia="MS Mincho" w:cs="Times New Roman"/>
      <w:sz w:val="28"/>
      <w:szCs w:val="28"/>
    </w:rPr>
  </w:style>
  <w:style w:type="paragraph" w:styleId="6">
    <w:name w:val="heading 5"/>
    <w:basedOn w:val="5"/>
    <w:next w:val="1"/>
    <w:link w:val="40"/>
    <w:autoRedefine/>
    <w:qFormat/>
    <w:uiPriority w:val="0"/>
    <w:pPr>
      <w:numPr>
        <w:ilvl w:val="4"/>
      </w:numPr>
      <w:spacing w:before="280" w:after="290" w:line="376" w:lineRule="auto"/>
      <w:outlineLvl w:val="4"/>
    </w:pPr>
    <w:rPr>
      <w:rFonts w:eastAsia="Times New Roman"/>
    </w:rPr>
  </w:style>
  <w:style w:type="paragraph" w:styleId="7">
    <w:name w:val="heading 6"/>
    <w:basedOn w:val="1"/>
    <w:next w:val="1"/>
    <w:link w:val="41"/>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42"/>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43"/>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4"/>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50"/>
    <w:autoRedefine/>
    <w:semiHidden/>
    <w:unhideWhenUsed/>
    <w:qFormat/>
    <w:uiPriority w:val="99"/>
    <w:pPr>
      <w:jc w:val="left"/>
    </w:pPr>
  </w:style>
  <w:style w:type="paragraph" w:styleId="13">
    <w:name w:val="Body Text"/>
    <w:basedOn w:val="1"/>
    <w:link w:val="27"/>
    <w:autoRedefine/>
    <w:qFormat/>
    <w:uiPriority w:val="0"/>
    <w:pPr>
      <w:adjustRightInd w:val="0"/>
      <w:snapToGrid w:val="0"/>
      <w:spacing w:line="360" w:lineRule="auto"/>
      <w:ind w:firstLine="420"/>
    </w:pPr>
    <w:rPr>
      <w:rFonts w:eastAsia="楷体"/>
      <w:snapToGrid w:val="0"/>
    </w:rPr>
  </w:style>
  <w:style w:type="paragraph" w:styleId="14">
    <w:name w:val="Balloon Text"/>
    <w:basedOn w:val="1"/>
    <w:link w:val="52"/>
    <w:autoRedefine/>
    <w:semiHidden/>
    <w:unhideWhenUsed/>
    <w:qFormat/>
    <w:uiPriority w:val="99"/>
    <w:rPr>
      <w:sz w:val="18"/>
      <w:szCs w:val="18"/>
    </w:rPr>
  </w:style>
  <w:style w:type="paragraph" w:styleId="15">
    <w:name w:val="footer"/>
    <w:basedOn w:val="1"/>
    <w:link w:val="49"/>
    <w:autoRedefine/>
    <w:unhideWhenUsed/>
    <w:qFormat/>
    <w:uiPriority w:val="99"/>
    <w:pPr>
      <w:tabs>
        <w:tab w:val="center" w:pos="4153"/>
        <w:tab w:val="right" w:pos="8306"/>
      </w:tabs>
      <w:snapToGrid w:val="0"/>
      <w:jc w:val="left"/>
    </w:pPr>
    <w:rPr>
      <w:sz w:val="18"/>
      <w:szCs w:val="18"/>
    </w:rPr>
  </w:style>
  <w:style w:type="paragraph" w:styleId="16">
    <w:name w:val="header"/>
    <w:basedOn w:val="1"/>
    <w:link w:val="4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2"/>
    <w:next w:val="12"/>
    <w:link w:val="51"/>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FollowedHyperlink"/>
    <w:basedOn w:val="22"/>
    <w:qFormat/>
    <w:uiPriority w:val="0"/>
    <w:rPr>
      <w:color w:val="800080"/>
      <w:u w:val="single"/>
    </w:rPr>
  </w:style>
  <w:style w:type="character" w:styleId="25">
    <w:name w:val="Emphasis"/>
    <w:basedOn w:val="22"/>
    <w:qFormat/>
    <w:uiPriority w:val="20"/>
    <w:rPr>
      <w:i/>
    </w:rPr>
  </w:style>
  <w:style w:type="character" w:styleId="26">
    <w:name w:val="Hyperlink"/>
    <w:basedOn w:val="27"/>
    <w:qFormat/>
    <w:uiPriority w:val="0"/>
    <w:rPr>
      <w:color w:val="5B9BD5" w:themeColor="accent1"/>
      <w14:textFill>
        <w14:solidFill>
          <w14:schemeClr w14:val="accent1"/>
        </w14:solidFill>
      </w14:textFill>
    </w:rPr>
  </w:style>
  <w:style w:type="character" w:customStyle="1" w:styleId="27">
    <w:name w:val="Body Text Char"/>
    <w:basedOn w:val="22"/>
    <w:link w:val="13"/>
    <w:qFormat/>
    <w:uiPriority w:val="0"/>
    <w:rPr>
      <w:rFonts w:eastAsia="楷体"/>
      <w:snapToGrid w:val="0"/>
    </w:rPr>
  </w:style>
  <w:style w:type="character" w:styleId="28">
    <w:name w:val="annotation reference"/>
    <w:basedOn w:val="22"/>
    <w:autoRedefine/>
    <w:unhideWhenUsed/>
    <w:qFormat/>
    <w:uiPriority w:val="99"/>
    <w:rPr>
      <w:sz w:val="16"/>
      <w:szCs w:val="16"/>
    </w:rPr>
  </w:style>
  <w:style w:type="paragraph" w:customStyle="1" w:styleId="29">
    <w:name w:val="Doc-title"/>
    <w:basedOn w:val="1"/>
    <w:next w:val="30"/>
    <w:autoRedefine/>
    <w:qFormat/>
    <w:uiPriority w:val="0"/>
    <w:pPr>
      <w:spacing w:before="60"/>
      <w:ind w:left="1259" w:hanging="1259"/>
    </w:pPr>
  </w:style>
  <w:style w:type="paragraph" w:customStyle="1" w:styleId="30">
    <w:name w:val="Doc-text2"/>
    <w:basedOn w:val="1"/>
    <w:autoRedefine/>
    <w:qFormat/>
    <w:uiPriority w:val="0"/>
    <w:pPr>
      <w:tabs>
        <w:tab w:val="left" w:pos="1622"/>
      </w:tabs>
      <w:ind w:left="1622" w:hanging="363"/>
    </w:pPr>
  </w:style>
  <w:style w:type="character" w:customStyle="1" w:styleId="31">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32">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3">
    <w:name w:val="标题 2 字符"/>
    <w:basedOn w:val="22"/>
    <w:link w:val="3"/>
    <w:autoRedefine/>
    <w:qFormat/>
    <w:uiPriority w:val="9"/>
    <w:rPr>
      <w:rFonts w:eastAsia="Times New Roman" w:asciiTheme="majorHAnsi" w:hAnsiTheme="majorHAnsi" w:cstheme="majorBidi"/>
      <w:b/>
      <w:bCs/>
      <w:sz w:val="18"/>
      <w:szCs w:val="32"/>
    </w:rPr>
  </w:style>
  <w:style w:type="character" w:customStyle="1" w:styleId="34">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35">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6">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7">
    <w:name w:val="List Paragraph"/>
    <w:basedOn w:val="1"/>
    <w:link w:val="38"/>
    <w:autoRedefine/>
    <w:qFormat/>
    <w:uiPriority w:val="34"/>
    <w:pPr>
      <w:widowControl/>
      <w:ind w:left="720"/>
      <w:jc w:val="left"/>
    </w:pPr>
    <w:rPr>
      <w:rFonts w:ascii="Calibri" w:hAnsi="Calibri" w:eastAsia="Calibri" w:cs="Times New Roman"/>
      <w:kern w:val="0"/>
      <w:sz w:val="22"/>
      <w:lang w:eastAsia="en-US"/>
    </w:rPr>
  </w:style>
  <w:style w:type="character" w:customStyle="1" w:styleId="38">
    <w:name w:val="列出段落 字符"/>
    <w:link w:val="37"/>
    <w:autoRedefine/>
    <w:qFormat/>
    <w:locked/>
    <w:uiPriority w:val="34"/>
    <w:rPr>
      <w:rFonts w:ascii="Calibri" w:hAnsi="Calibri" w:eastAsia="Calibri" w:cs="Times New Roman"/>
      <w:kern w:val="0"/>
      <w:sz w:val="22"/>
      <w:lang w:eastAsia="en-US"/>
    </w:rPr>
  </w:style>
  <w:style w:type="character" w:customStyle="1" w:styleId="39">
    <w:name w:val="标题 4 字符"/>
    <w:basedOn w:val="22"/>
    <w:link w:val="5"/>
    <w:autoRedefine/>
    <w:qFormat/>
    <w:uiPriority w:val="0"/>
    <w:rPr>
      <w:rFonts w:ascii="Times New Roman" w:hAnsi="Times New Roman" w:eastAsia="MS Mincho" w:cs="Times New Roman"/>
      <w:b/>
      <w:bCs/>
      <w:kern w:val="0"/>
      <w:sz w:val="28"/>
      <w:szCs w:val="28"/>
      <w:lang w:eastAsia="en-US"/>
    </w:rPr>
  </w:style>
  <w:style w:type="character" w:customStyle="1" w:styleId="40">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41">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42">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43">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4">
    <w:name w:val="标题 9 字符"/>
    <w:basedOn w:val="22"/>
    <w:link w:val="10"/>
    <w:autoRedefine/>
    <w:qFormat/>
    <w:uiPriority w:val="0"/>
    <w:rPr>
      <w:rFonts w:ascii="Arial" w:hAnsi="Arial" w:eastAsia="黑体" w:cs="Times New Roman"/>
      <w:kern w:val="0"/>
      <w:szCs w:val="21"/>
      <w:lang w:eastAsia="en-US"/>
    </w:rPr>
  </w:style>
  <w:style w:type="paragraph" w:customStyle="1" w:styleId="45">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6">
    <w:name w:val="B1"/>
    <w:basedOn w:val="17"/>
    <w:autoRedefine/>
    <w:qFormat/>
    <w:uiPriority w:val="0"/>
  </w:style>
  <w:style w:type="paragraph" w:customStyle="1" w:styleId="47">
    <w:name w:val="NO"/>
    <w:basedOn w:val="1"/>
    <w:autoRedefine/>
    <w:qFormat/>
    <w:uiPriority w:val="0"/>
    <w:pPr>
      <w:keepLines/>
      <w:ind w:left="1135" w:hanging="851"/>
    </w:pPr>
  </w:style>
  <w:style w:type="character" w:customStyle="1" w:styleId="48">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9">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50">
    <w:name w:val="批注文字 字符"/>
    <w:basedOn w:val="22"/>
    <w:link w:val="12"/>
    <w:autoRedefine/>
    <w:semiHidden/>
    <w:qFormat/>
    <w:uiPriority w:val="99"/>
    <w:rPr>
      <w:rFonts w:asciiTheme="minorHAnsi" w:hAnsiTheme="minorHAnsi" w:eastAsiaTheme="minorEastAsia" w:cstheme="minorBidi"/>
      <w:kern w:val="2"/>
      <w:sz w:val="21"/>
      <w:szCs w:val="22"/>
    </w:rPr>
  </w:style>
  <w:style w:type="character" w:customStyle="1" w:styleId="51">
    <w:name w:val="批注主题 字符"/>
    <w:basedOn w:val="50"/>
    <w:link w:val="19"/>
    <w:autoRedefine/>
    <w:semiHidden/>
    <w:qFormat/>
    <w:uiPriority w:val="99"/>
    <w:rPr>
      <w:rFonts w:asciiTheme="minorHAnsi" w:hAnsiTheme="minorHAnsi" w:eastAsiaTheme="minorEastAsia" w:cstheme="minorBidi"/>
      <w:b/>
      <w:bCs/>
      <w:kern w:val="2"/>
      <w:sz w:val="21"/>
      <w:szCs w:val="22"/>
    </w:rPr>
  </w:style>
  <w:style w:type="character" w:customStyle="1" w:styleId="52">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53">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4">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5">
    <w:name w:val="Comments"/>
    <w:basedOn w:val="1"/>
    <w:autoRedefine/>
    <w:qFormat/>
    <w:uiPriority w:val="0"/>
    <w:rPr>
      <w:i/>
      <w:sz w:val="18"/>
    </w:rPr>
  </w:style>
  <w:style w:type="paragraph" w:customStyle="1" w:styleId="56">
    <w:name w:val="B2"/>
    <w:basedOn w:val="1"/>
    <w:autoRedefine/>
    <w:qFormat/>
    <w:uiPriority w:val="0"/>
    <w:pPr>
      <w:ind w:left="851" w:hanging="284"/>
    </w:pPr>
  </w:style>
  <w:style w:type="paragraph" w:customStyle="1" w:styleId="57">
    <w:name w:val="B3"/>
    <w:basedOn w:val="1"/>
    <w:autoRedefine/>
    <w:qFormat/>
    <w:uiPriority w:val="0"/>
    <w:pPr>
      <w:ind w:left="1135" w:hanging="284"/>
    </w:pPr>
  </w:style>
  <w:style w:type="paragraph" w:customStyle="1" w:styleId="58">
    <w:name w:val="Agreement"/>
    <w:basedOn w:val="1"/>
    <w:next w:val="30"/>
    <w:autoRedefine/>
    <w:qFormat/>
    <w:uiPriority w:val="99"/>
    <w:pPr>
      <w:numPr>
        <w:ilvl w:val="0"/>
        <w:numId w:val="2"/>
      </w:numPr>
      <w:tabs>
        <w:tab w:val="left" w:pos="1619"/>
        <w:tab w:val="clear" w:pos="2039"/>
      </w:tabs>
      <w:spacing w:before="60"/>
    </w:pPr>
    <w:rPr>
      <w:b/>
    </w:rPr>
  </w:style>
  <w:style w:type="paragraph" w:customStyle="1" w:styleId="59">
    <w:name w:val="First Paragraph"/>
    <w:basedOn w:val="13"/>
    <w:next w:val="13"/>
    <w:qFormat/>
    <w:uiPriority w:val="0"/>
  </w:style>
  <w:style w:type="paragraph" w:customStyle="1" w:styleId="60">
    <w:name w:val="ds-markdown-paragraph"/>
    <w:basedOn w:val="1"/>
    <w:qFormat/>
    <w:uiPriority w:val="0"/>
    <w:pPr>
      <w:widowControl/>
      <w:spacing w:before="100" w:beforeAutospacing="1" w:after="100" w:afterAutospacing="1"/>
      <w:jc w:val="left"/>
    </w:pPr>
    <w:rPr>
      <w:rFonts w:ascii="Times New Roman" w:hAnsi="Times New Roman" w:eastAsia="Times New Roman" w:cs="Times New Roman"/>
      <w:kern w:val="0"/>
      <w:sz w:val="24"/>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2184</Words>
  <Characters>12380</Characters>
  <Lines>52</Lines>
  <Paragraphs>14</Paragraphs>
  <TotalTime>7</TotalTime>
  <ScaleCrop>false</ScaleCrop>
  <LinksUpToDate>false</LinksUpToDate>
  <CharactersWithSpaces>14569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2025-11-07T03:44:56Z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A8EED370F6C24874A4C45B663B4A1374_13</vt:lpwstr>
  </property>
  <property fmtid="{D5CDD505-2E9C-101B-9397-08002B2CF9AE}" pid="4" name="KSOTemplateDocerSaveRecord">
    <vt:lpwstr>eyJoZGlkIjoiYTZkZWNlYTA0MDg2ZTc3NmRlNDJmOGU5YjFkMTIzYmYiLCJ1c2VySWQiOiI1MDMzMTQ0MjYifQ==</vt:lpwstr>
  </property>
</Properties>
</file>